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474F3" w14:textId="3A66A25A" w:rsidR="00376127" w:rsidRPr="004A782C" w:rsidRDefault="00EE3BE0" w:rsidP="00B27EBA">
      <w:pPr>
        <w:spacing w:after="0"/>
        <w:contextualSpacing/>
        <w:jc w:val="center"/>
        <w:rPr>
          <w:rFonts w:eastAsia="Times New Roman"/>
          <w:sz w:val="28"/>
          <w:szCs w:val="28"/>
          <w:lang w:bidi="ne-NP"/>
        </w:rPr>
      </w:pPr>
      <w:r w:rsidRPr="004A782C">
        <w:rPr>
          <w:rFonts w:eastAsia="Times New Roman"/>
          <w:b/>
          <w:bCs/>
          <w:color w:val="000000" w:themeColor="text1"/>
          <w:sz w:val="28"/>
          <w:szCs w:val="28"/>
          <w:lang w:bidi="ne-NP"/>
        </w:rPr>
        <w:t xml:space="preserve">Exploring Student’s </w:t>
      </w:r>
      <w:r w:rsidR="00376127" w:rsidRPr="004A782C">
        <w:rPr>
          <w:rFonts w:eastAsia="Times New Roman"/>
          <w:b/>
          <w:bCs/>
          <w:color w:val="000000" w:themeColor="text1"/>
          <w:sz w:val="28"/>
          <w:szCs w:val="28"/>
          <w:lang w:bidi="ne-NP"/>
        </w:rPr>
        <w:t xml:space="preserve">Attitudes towards </w:t>
      </w:r>
      <w:r w:rsidR="00376127" w:rsidRPr="004A782C">
        <w:rPr>
          <w:rFonts w:eastAsia="Times New Roman"/>
          <w:b/>
          <w:bCs/>
          <w:color w:val="000000"/>
          <w:sz w:val="28"/>
          <w:szCs w:val="28"/>
          <w:lang w:bidi="ne-NP"/>
        </w:rPr>
        <w:t>Mental Hea</w:t>
      </w:r>
      <w:r w:rsidR="00264E60" w:rsidRPr="004A782C">
        <w:rPr>
          <w:rFonts w:eastAsia="Times New Roman"/>
          <w:b/>
          <w:bCs/>
          <w:color w:val="000000"/>
          <w:sz w:val="28"/>
          <w:szCs w:val="28"/>
          <w:lang w:bidi="ne-NP"/>
        </w:rPr>
        <w:t>lth Problems in Chitwan</w:t>
      </w:r>
      <w:r w:rsidR="008C0039" w:rsidRPr="004A782C">
        <w:rPr>
          <w:rFonts w:eastAsia="Times New Roman"/>
          <w:b/>
          <w:bCs/>
          <w:color w:val="000000"/>
          <w:sz w:val="28"/>
          <w:szCs w:val="28"/>
          <w:lang w:bidi="ne-NP"/>
        </w:rPr>
        <w:t>,</w:t>
      </w:r>
      <w:r w:rsidR="00C5612F" w:rsidRPr="004A782C">
        <w:rPr>
          <w:rFonts w:eastAsia="Times New Roman"/>
          <w:b/>
          <w:bCs/>
          <w:color w:val="000000"/>
          <w:sz w:val="28"/>
          <w:szCs w:val="28"/>
          <w:lang w:bidi="ne-NP"/>
        </w:rPr>
        <w:t xml:space="preserve"> </w:t>
      </w:r>
      <w:r w:rsidR="00376127" w:rsidRPr="004A782C">
        <w:rPr>
          <w:rFonts w:eastAsia="Times New Roman"/>
          <w:b/>
          <w:bCs/>
          <w:color w:val="000000"/>
          <w:sz w:val="28"/>
          <w:szCs w:val="28"/>
          <w:lang w:bidi="ne-NP"/>
        </w:rPr>
        <w:t>Nepal</w:t>
      </w:r>
    </w:p>
    <w:p w14:paraId="4894D264" w14:textId="5CF0E941" w:rsidR="004B5AFA" w:rsidRPr="004A782C" w:rsidRDefault="004B5AFA" w:rsidP="00B27EBA">
      <w:pPr>
        <w:spacing w:after="0"/>
        <w:contextualSpacing/>
        <w:jc w:val="center"/>
        <w:rPr>
          <w:rFonts w:eastAsia="Times New Roman"/>
          <w:b/>
          <w:bCs/>
          <w:lang w:bidi="ne-NP"/>
        </w:rPr>
      </w:pPr>
      <w:proofErr w:type="spellStart"/>
      <w:r w:rsidRPr="004A782C">
        <w:rPr>
          <w:rFonts w:eastAsia="Times New Roman"/>
          <w:b/>
          <w:bCs/>
          <w:lang w:bidi="ne-NP"/>
        </w:rPr>
        <w:t>Samjhana</w:t>
      </w:r>
      <w:proofErr w:type="spellEnd"/>
      <w:r w:rsidRPr="004A782C">
        <w:rPr>
          <w:rFonts w:eastAsia="Times New Roman"/>
          <w:b/>
          <w:bCs/>
          <w:lang w:bidi="ne-NP"/>
        </w:rPr>
        <w:t xml:space="preserve"> Acharya</w:t>
      </w:r>
      <w:r w:rsidR="004A782C" w:rsidRPr="004A782C">
        <w:rPr>
          <w:rFonts w:eastAsia="Times New Roman"/>
          <w:b/>
          <w:bCs/>
          <w:vertAlign w:val="superscript"/>
          <w:lang w:bidi="ne-NP"/>
        </w:rPr>
        <w:t>1</w:t>
      </w:r>
      <w:r w:rsidR="00037903">
        <w:rPr>
          <w:rFonts w:eastAsia="Times New Roman"/>
          <w:b/>
          <w:bCs/>
          <w:vertAlign w:val="superscript"/>
          <w:lang w:bidi="ne-NP"/>
        </w:rPr>
        <w:t xml:space="preserve"> </w:t>
      </w:r>
      <w:r w:rsidR="00037903">
        <w:rPr>
          <w:b/>
          <w:bCs/>
          <w:noProof/>
        </w:rPr>
        <w:drawing>
          <wp:inline distT="0" distB="0" distL="0" distR="0" wp14:anchorId="21314C57" wp14:editId="7B4A6464">
            <wp:extent cx="152400" cy="152400"/>
            <wp:effectExtent l="0" t="0" r="0" b="0"/>
            <wp:docPr id="4" name="Picture 4" descr="ORCID-iD_icon_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iD_icon_16x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B75D4C" w14:textId="77777777" w:rsidR="004A782C" w:rsidRPr="004A782C" w:rsidRDefault="004A782C" w:rsidP="00B27EBA">
      <w:pPr>
        <w:spacing w:after="0"/>
        <w:contextualSpacing/>
        <w:jc w:val="center"/>
        <w:rPr>
          <w:rFonts w:eastAsia="Times New Roman"/>
          <w:lang w:bidi="ne-NP"/>
        </w:rPr>
      </w:pPr>
    </w:p>
    <w:p w14:paraId="28E7E8A9" w14:textId="77777777" w:rsidR="004A782C" w:rsidRDefault="004A782C" w:rsidP="00B27EBA">
      <w:pPr>
        <w:spacing w:after="0"/>
        <w:contextualSpacing/>
        <w:jc w:val="both"/>
        <w:rPr>
          <w:rFonts w:eastAsia="Times New Roman"/>
          <w:lang w:bidi="ne-NP"/>
        </w:rPr>
      </w:pPr>
      <w:r w:rsidRPr="004A782C">
        <w:rPr>
          <w:rFonts w:eastAsia="Times New Roman"/>
          <w:vertAlign w:val="superscript"/>
          <w:lang w:bidi="ne-NP"/>
        </w:rPr>
        <w:t>1</w:t>
      </w:r>
      <w:r w:rsidRPr="004A782C">
        <w:rPr>
          <w:rFonts w:eastAsia="Times New Roman"/>
          <w:lang w:bidi="ne-NP"/>
        </w:rPr>
        <w:t xml:space="preserve">Central Department of Rural Development, </w:t>
      </w:r>
    </w:p>
    <w:p w14:paraId="6DDC0FD5" w14:textId="0BE9F1A4" w:rsidR="004A782C" w:rsidRPr="004A782C" w:rsidRDefault="004A782C" w:rsidP="00B27EBA">
      <w:pPr>
        <w:spacing w:after="0"/>
        <w:contextualSpacing/>
        <w:jc w:val="both"/>
        <w:rPr>
          <w:rFonts w:eastAsia="Times New Roman"/>
          <w:lang w:bidi="ne-NP"/>
        </w:rPr>
      </w:pPr>
      <w:r w:rsidRPr="004A782C">
        <w:rPr>
          <w:rFonts w:eastAsia="Times New Roman"/>
          <w:lang w:bidi="ne-NP"/>
        </w:rPr>
        <w:t>Tribhuvan University, Kathmandu, Nepal</w:t>
      </w:r>
    </w:p>
    <w:p w14:paraId="6732224A" w14:textId="77777777" w:rsidR="004A782C" w:rsidRDefault="004A782C" w:rsidP="00B27EBA">
      <w:pPr>
        <w:spacing w:after="0"/>
        <w:contextualSpacing/>
        <w:rPr>
          <w:rFonts w:eastAsia="SimSun"/>
          <w:b/>
          <w:bCs/>
          <w:u w:val="single"/>
          <w:lang w:bidi="ne-NP"/>
        </w:rPr>
      </w:pPr>
    </w:p>
    <w:p w14:paraId="4EE2B9F8" w14:textId="117F998B" w:rsidR="004A782C" w:rsidRPr="004A782C" w:rsidRDefault="004A782C" w:rsidP="00B27EBA">
      <w:pPr>
        <w:spacing w:after="0"/>
        <w:contextualSpacing/>
        <w:rPr>
          <w:rFonts w:eastAsia="SimSun"/>
          <w:b/>
          <w:bCs/>
          <w:u w:val="single"/>
          <w:lang w:bidi="ne-NP"/>
        </w:rPr>
      </w:pPr>
      <w:r w:rsidRPr="004A782C">
        <w:rPr>
          <w:rFonts w:eastAsia="SimSun"/>
          <w:b/>
          <w:bCs/>
          <w:u w:val="single"/>
          <w:lang w:bidi="ne-NP"/>
        </w:rPr>
        <w:t>Corresponding Author</w:t>
      </w:r>
    </w:p>
    <w:p w14:paraId="6B054A04" w14:textId="1A63BC86" w:rsidR="004A782C" w:rsidRPr="004A782C" w:rsidRDefault="004A782C" w:rsidP="00B27EBA">
      <w:pPr>
        <w:spacing w:after="0"/>
        <w:contextualSpacing/>
        <w:jc w:val="both"/>
        <w:rPr>
          <w:rFonts w:eastAsia="Times New Roman"/>
          <w:bCs/>
          <w:lang w:val="en" w:bidi="ne-NP"/>
        </w:rPr>
      </w:pPr>
      <w:proofErr w:type="spellStart"/>
      <w:r>
        <w:rPr>
          <w:rFonts w:eastAsia="Times New Roman"/>
          <w:bCs/>
          <w:lang w:val="en" w:bidi="ne-NP"/>
        </w:rPr>
        <w:t>Samjhana</w:t>
      </w:r>
      <w:proofErr w:type="spellEnd"/>
      <w:r>
        <w:rPr>
          <w:rFonts w:eastAsia="Times New Roman"/>
          <w:bCs/>
          <w:lang w:val="en" w:bidi="ne-NP"/>
        </w:rPr>
        <w:t xml:space="preserve"> Acharya</w:t>
      </w:r>
    </w:p>
    <w:p w14:paraId="44F55D03" w14:textId="4CB4B826" w:rsidR="004A782C" w:rsidRPr="004A782C" w:rsidRDefault="004A782C" w:rsidP="00B27EBA">
      <w:pPr>
        <w:spacing w:after="0"/>
        <w:contextualSpacing/>
        <w:rPr>
          <w:rFonts w:eastAsia="Times New Roman"/>
          <w:lang w:val="en-IN" w:bidi="ne-NP"/>
        </w:rPr>
      </w:pPr>
      <w:r w:rsidRPr="004A782C">
        <w:rPr>
          <w:rFonts w:eastAsia="Times New Roman"/>
          <w:bCs/>
          <w:lang w:val="en" w:bidi="ne-NP"/>
        </w:rPr>
        <w:t>Email:</w:t>
      </w:r>
      <w:r>
        <w:rPr>
          <w:rFonts w:eastAsia="Times New Roman"/>
          <w:bCs/>
          <w:lang w:val="en" w:bidi="ne-NP"/>
        </w:rPr>
        <w:t xml:space="preserve"> </w:t>
      </w:r>
      <w:r w:rsidRPr="004A782C">
        <w:rPr>
          <w:rFonts w:eastAsia="Times New Roman"/>
          <w:lang w:val="en-IN" w:bidi="ne-NP"/>
        </w:rPr>
        <w:t>samjhoo44@gmail.com</w:t>
      </w:r>
    </w:p>
    <w:p w14:paraId="13FE02C0" w14:textId="77777777" w:rsidR="004A782C" w:rsidRPr="004A782C" w:rsidRDefault="004A782C" w:rsidP="00B27EBA">
      <w:pPr>
        <w:spacing w:after="0"/>
        <w:contextualSpacing/>
        <w:jc w:val="both"/>
        <w:rPr>
          <w:rFonts w:eastAsia="Calibri"/>
          <w:b/>
          <w:bCs/>
          <w:color w:val="000000"/>
          <w:sz w:val="22"/>
          <w:szCs w:val="22"/>
        </w:rPr>
      </w:pPr>
    </w:p>
    <w:p w14:paraId="5AAC96BB" w14:textId="2530605F" w:rsidR="004A782C" w:rsidRPr="00BF4F7A" w:rsidRDefault="004A782C" w:rsidP="00B27EBA">
      <w:pPr>
        <w:spacing w:after="0"/>
        <w:contextualSpacing/>
        <w:jc w:val="both"/>
        <w:rPr>
          <w:rFonts w:eastAsia="Calibri"/>
          <w:color w:val="000000"/>
          <w:shd w:val="clear" w:color="auto" w:fill="FFFFFF"/>
        </w:rPr>
      </w:pPr>
      <w:r w:rsidRPr="00BF4F7A">
        <w:rPr>
          <w:rFonts w:eastAsia="Calibri"/>
          <w:b/>
          <w:bCs/>
          <w:color w:val="000000"/>
        </w:rPr>
        <w:t xml:space="preserve">To Cite this article: </w:t>
      </w:r>
      <w:r w:rsidR="006414E4" w:rsidRPr="00BF4F7A">
        <w:rPr>
          <w:rFonts w:eastAsia="Calibri"/>
          <w:color w:val="000000"/>
          <w:shd w:val="clear" w:color="auto" w:fill="FFFFFF"/>
        </w:rPr>
        <w:t>Acharya, S.</w:t>
      </w:r>
      <w:r w:rsidR="00B27EBA" w:rsidRPr="00BF4F7A">
        <w:rPr>
          <w:rFonts w:eastAsia="Calibri"/>
          <w:color w:val="000000"/>
          <w:shd w:val="clear" w:color="auto" w:fill="FFFFFF"/>
        </w:rPr>
        <w:t xml:space="preserve"> (2025). </w:t>
      </w:r>
      <w:r w:rsidR="006414E4" w:rsidRPr="00BF4F7A">
        <w:rPr>
          <w:rFonts w:eastAsia="Calibri"/>
          <w:color w:val="000000"/>
          <w:shd w:val="clear" w:color="auto" w:fill="FFFFFF"/>
        </w:rPr>
        <w:t xml:space="preserve">Exploring </w:t>
      </w:r>
      <w:r w:rsidR="00B27EBA" w:rsidRPr="00BF4F7A">
        <w:rPr>
          <w:rFonts w:eastAsia="Calibri"/>
          <w:color w:val="000000"/>
          <w:shd w:val="clear" w:color="auto" w:fill="FFFFFF"/>
        </w:rPr>
        <w:t>S</w:t>
      </w:r>
      <w:r w:rsidR="006414E4" w:rsidRPr="00BF4F7A">
        <w:rPr>
          <w:rFonts w:eastAsia="Calibri"/>
          <w:color w:val="000000"/>
          <w:shd w:val="clear" w:color="auto" w:fill="FFFFFF"/>
        </w:rPr>
        <w:t xml:space="preserve">tudent’s </w:t>
      </w:r>
      <w:r w:rsidR="00B27EBA" w:rsidRPr="00BF4F7A">
        <w:rPr>
          <w:rFonts w:eastAsia="Calibri"/>
          <w:color w:val="000000"/>
          <w:shd w:val="clear" w:color="auto" w:fill="FFFFFF"/>
        </w:rPr>
        <w:t>a</w:t>
      </w:r>
      <w:r w:rsidR="006414E4" w:rsidRPr="00BF4F7A">
        <w:rPr>
          <w:rFonts w:eastAsia="Calibri"/>
          <w:color w:val="000000"/>
          <w:shd w:val="clear" w:color="auto" w:fill="FFFFFF"/>
        </w:rPr>
        <w:t xml:space="preserve">ttitudes towards </w:t>
      </w:r>
      <w:r w:rsidR="00B27EBA" w:rsidRPr="00BF4F7A">
        <w:rPr>
          <w:rFonts w:eastAsia="Calibri"/>
          <w:color w:val="000000"/>
          <w:shd w:val="clear" w:color="auto" w:fill="FFFFFF"/>
        </w:rPr>
        <w:t>m</w:t>
      </w:r>
      <w:r w:rsidR="006414E4" w:rsidRPr="00BF4F7A">
        <w:rPr>
          <w:rFonts w:eastAsia="Calibri"/>
          <w:color w:val="000000"/>
          <w:shd w:val="clear" w:color="auto" w:fill="FFFFFF"/>
        </w:rPr>
        <w:t xml:space="preserve">ental </w:t>
      </w:r>
      <w:r w:rsidR="00B27EBA" w:rsidRPr="00BF4F7A">
        <w:rPr>
          <w:rFonts w:eastAsia="Calibri"/>
          <w:color w:val="000000"/>
          <w:shd w:val="clear" w:color="auto" w:fill="FFFFFF"/>
        </w:rPr>
        <w:t>h</w:t>
      </w:r>
      <w:r w:rsidR="006414E4" w:rsidRPr="00BF4F7A">
        <w:rPr>
          <w:rFonts w:eastAsia="Calibri"/>
          <w:color w:val="000000"/>
          <w:shd w:val="clear" w:color="auto" w:fill="FFFFFF"/>
        </w:rPr>
        <w:t xml:space="preserve">ealth </w:t>
      </w:r>
      <w:r w:rsidR="00B27EBA" w:rsidRPr="00BF4F7A">
        <w:rPr>
          <w:rFonts w:eastAsia="Calibri"/>
          <w:color w:val="000000"/>
          <w:shd w:val="clear" w:color="auto" w:fill="FFFFFF"/>
        </w:rPr>
        <w:t>p</w:t>
      </w:r>
      <w:r w:rsidR="006414E4" w:rsidRPr="00BF4F7A">
        <w:rPr>
          <w:rFonts w:eastAsia="Calibri"/>
          <w:color w:val="000000"/>
          <w:shd w:val="clear" w:color="auto" w:fill="FFFFFF"/>
        </w:rPr>
        <w:t xml:space="preserve">roblems in Chitwan, Nepal. </w:t>
      </w:r>
      <w:r w:rsidR="006414E4" w:rsidRPr="00BF4F7A">
        <w:rPr>
          <w:rFonts w:eastAsia="Calibri"/>
          <w:i/>
          <w:iCs/>
          <w:color w:val="000000"/>
          <w:shd w:val="clear" w:color="auto" w:fill="FFFFFF"/>
        </w:rPr>
        <w:t>International Research Journal of MMC, 6</w:t>
      </w:r>
      <w:r w:rsidR="006414E4" w:rsidRPr="00BF4F7A">
        <w:rPr>
          <w:rFonts w:eastAsia="Calibri"/>
          <w:color w:val="000000"/>
          <w:shd w:val="clear" w:color="auto" w:fill="FFFFFF"/>
        </w:rPr>
        <w:t>(2), 158–17</w:t>
      </w:r>
      <w:r w:rsidR="00B27EBA" w:rsidRPr="00BF4F7A">
        <w:rPr>
          <w:rFonts w:eastAsia="Calibri"/>
          <w:color w:val="000000"/>
          <w:shd w:val="clear" w:color="auto" w:fill="FFFFFF"/>
        </w:rPr>
        <w:t>2</w:t>
      </w:r>
      <w:r w:rsidR="006414E4" w:rsidRPr="00BF4F7A">
        <w:rPr>
          <w:rFonts w:eastAsia="Calibri"/>
          <w:color w:val="000000"/>
          <w:shd w:val="clear" w:color="auto" w:fill="FFFFFF"/>
        </w:rPr>
        <w:t xml:space="preserve">. </w:t>
      </w:r>
      <w:hyperlink r:id="rId9" w:history="1">
        <w:r w:rsidR="00B27EBA" w:rsidRPr="00BF4F7A">
          <w:rPr>
            <w:color w:val="000000"/>
          </w:rPr>
          <w:t>https://doi.org/10.3126/irjmmc.v6i2.80721</w:t>
        </w:r>
      </w:hyperlink>
    </w:p>
    <w:p w14:paraId="10AD4248" w14:textId="77777777" w:rsidR="00B27EBA" w:rsidRPr="004A782C" w:rsidRDefault="00B27EBA" w:rsidP="00B27EBA">
      <w:pPr>
        <w:spacing w:after="0"/>
        <w:contextualSpacing/>
        <w:jc w:val="both"/>
        <w:rPr>
          <w:rFonts w:eastAsia="Calibri"/>
          <w:bCs/>
          <w:color w:val="000000"/>
        </w:rPr>
      </w:pPr>
    </w:p>
    <w:p w14:paraId="2A1F6558" w14:textId="7BC41795" w:rsidR="004A782C" w:rsidRPr="004A782C" w:rsidRDefault="004A782C" w:rsidP="00B27EBA">
      <w:pPr>
        <w:spacing w:after="0"/>
        <w:contextualSpacing/>
        <w:jc w:val="both"/>
        <w:rPr>
          <w:rFonts w:eastAsia="Times New Roman"/>
          <w:spacing w:val="-10"/>
          <w:kern w:val="28"/>
          <w:lang w:bidi="ne-NP"/>
        </w:rPr>
      </w:pPr>
      <w:r w:rsidRPr="004A782C">
        <w:rPr>
          <w:rFonts w:eastAsia="Times New Roman"/>
          <w:b/>
          <w:bCs/>
          <w:spacing w:val="-10"/>
          <w:kern w:val="28"/>
          <w:lang w:bidi="ne-NP"/>
        </w:rPr>
        <w:t>Submitted</w:t>
      </w:r>
      <w:r w:rsidRPr="004A782C">
        <w:rPr>
          <w:rFonts w:eastAsia="Times New Roman"/>
          <w:spacing w:val="-10"/>
          <w:kern w:val="28"/>
          <w:lang w:bidi="ne-NP"/>
        </w:rPr>
        <w:t xml:space="preserve">: </w:t>
      </w:r>
      <w:r>
        <w:rPr>
          <w:rFonts w:eastAsia="Times New Roman"/>
          <w:spacing w:val="-10"/>
          <w:kern w:val="28"/>
          <w:lang w:bidi="ne-NP"/>
        </w:rPr>
        <w:t>16</w:t>
      </w:r>
      <w:r w:rsidRPr="004A782C">
        <w:rPr>
          <w:rFonts w:eastAsia="Times New Roman"/>
          <w:spacing w:val="-10"/>
          <w:kern w:val="28"/>
          <w:lang w:bidi="ne-NP"/>
        </w:rPr>
        <w:t xml:space="preserve"> </w:t>
      </w:r>
      <w:r>
        <w:rPr>
          <w:rFonts w:eastAsia="Times New Roman"/>
          <w:spacing w:val="-10"/>
          <w:kern w:val="28"/>
          <w:lang w:bidi="ne-NP"/>
        </w:rPr>
        <w:t>June</w:t>
      </w:r>
      <w:r w:rsidRPr="004A782C">
        <w:rPr>
          <w:rFonts w:eastAsia="Times New Roman"/>
          <w:spacing w:val="-10"/>
          <w:kern w:val="28"/>
          <w:lang w:bidi="ne-NP"/>
        </w:rPr>
        <w:t xml:space="preserve"> 2025 </w:t>
      </w:r>
      <w:r w:rsidRPr="004A782C">
        <w:rPr>
          <w:rFonts w:eastAsia="Times New Roman"/>
          <w:spacing w:val="-10"/>
          <w:kern w:val="28"/>
          <w:lang w:bidi="ne-NP"/>
        </w:rPr>
        <w:tab/>
      </w:r>
      <w:r w:rsidRPr="004A782C">
        <w:rPr>
          <w:rFonts w:eastAsia="Times New Roman"/>
          <w:spacing w:val="-10"/>
          <w:kern w:val="28"/>
          <w:lang w:bidi="ne-NP"/>
        </w:rPr>
        <w:tab/>
      </w:r>
      <w:r w:rsidRPr="004A782C">
        <w:rPr>
          <w:rFonts w:eastAsia="Times New Roman"/>
          <w:b/>
          <w:bCs/>
          <w:spacing w:val="-10"/>
          <w:kern w:val="28"/>
          <w:lang w:bidi="ne-NP"/>
        </w:rPr>
        <w:t xml:space="preserve">Accepted: </w:t>
      </w:r>
      <w:r>
        <w:rPr>
          <w:rFonts w:eastAsia="Times New Roman"/>
          <w:spacing w:val="-10"/>
          <w:kern w:val="28"/>
          <w:lang w:bidi="ne-NP"/>
        </w:rPr>
        <w:t>24</w:t>
      </w:r>
      <w:r w:rsidRPr="004A782C">
        <w:rPr>
          <w:rFonts w:eastAsia="Times New Roman"/>
          <w:spacing w:val="-10"/>
          <w:kern w:val="28"/>
          <w:lang w:bidi="ne-NP"/>
        </w:rPr>
        <w:t xml:space="preserve"> June 2025</w:t>
      </w:r>
      <w:r w:rsidRPr="004A782C">
        <w:rPr>
          <w:rFonts w:eastAsia="Times New Roman"/>
          <w:i/>
          <w:iCs/>
          <w:spacing w:val="-10"/>
          <w:kern w:val="28"/>
          <w:lang w:bidi="ne-NP"/>
        </w:rPr>
        <w:tab/>
      </w:r>
      <w:r w:rsidRPr="004A782C">
        <w:rPr>
          <w:rFonts w:eastAsia="Times New Roman"/>
          <w:i/>
          <w:iCs/>
          <w:spacing w:val="-10"/>
          <w:kern w:val="28"/>
          <w:lang w:bidi="ne-NP"/>
        </w:rPr>
        <w:tab/>
        <w:t xml:space="preserve"> </w:t>
      </w:r>
      <w:r w:rsidRPr="004A782C">
        <w:rPr>
          <w:rFonts w:eastAsia="Times New Roman"/>
          <w:b/>
          <w:bCs/>
          <w:spacing w:val="-10"/>
          <w:kern w:val="28"/>
          <w:lang w:bidi="ne-NP"/>
        </w:rPr>
        <w:t xml:space="preserve">Published: </w:t>
      </w:r>
      <w:r w:rsidR="00BF4F7A">
        <w:rPr>
          <w:rFonts w:eastAsia="Times New Roman"/>
          <w:spacing w:val="-10"/>
          <w:kern w:val="28"/>
          <w:lang w:bidi="ne-NP"/>
        </w:rPr>
        <w:t>27</w:t>
      </w:r>
      <w:r w:rsidRPr="004A782C">
        <w:rPr>
          <w:rFonts w:eastAsia="Times New Roman"/>
          <w:spacing w:val="-10"/>
          <w:kern w:val="28"/>
          <w:lang w:bidi="ne-NP"/>
        </w:rPr>
        <w:t xml:space="preserve"> June 2025</w:t>
      </w:r>
    </w:p>
    <w:p w14:paraId="6BDF7F9D" w14:textId="77777777" w:rsidR="004A782C" w:rsidRDefault="004A782C" w:rsidP="00B27EBA">
      <w:pPr>
        <w:spacing w:after="0"/>
        <w:contextualSpacing/>
        <w:jc w:val="both"/>
        <w:rPr>
          <w:rFonts w:eastAsia="Times New Roman"/>
          <w:b/>
          <w:bCs/>
          <w:color w:val="000000" w:themeColor="text1"/>
          <w:lang w:bidi="ne-NP"/>
        </w:rPr>
      </w:pPr>
    </w:p>
    <w:p w14:paraId="0F4FD09C" w14:textId="095A64F3" w:rsidR="001E2790" w:rsidRPr="004A782C" w:rsidRDefault="001E2790" w:rsidP="00B27EBA">
      <w:pPr>
        <w:spacing w:after="0"/>
        <w:contextualSpacing/>
        <w:jc w:val="both"/>
        <w:rPr>
          <w:rFonts w:eastAsia="Times New Roman"/>
          <w:b/>
          <w:bCs/>
          <w:color w:val="000000" w:themeColor="text1"/>
          <w:sz w:val="28"/>
          <w:szCs w:val="28"/>
          <w:lang w:bidi="ne-NP"/>
        </w:rPr>
      </w:pPr>
      <w:r w:rsidRPr="004A782C">
        <w:rPr>
          <w:rFonts w:eastAsia="Times New Roman"/>
          <w:b/>
          <w:bCs/>
          <w:color w:val="000000" w:themeColor="text1"/>
          <w:sz w:val="28"/>
          <w:szCs w:val="28"/>
          <w:lang w:bidi="ne-NP"/>
        </w:rPr>
        <w:t>Abstract</w:t>
      </w:r>
      <w:bookmarkStart w:id="0" w:name="_GoBack"/>
      <w:bookmarkEnd w:id="0"/>
    </w:p>
    <w:p w14:paraId="0402BD1A" w14:textId="77777777" w:rsidR="001E2790" w:rsidRPr="004A782C" w:rsidRDefault="001E2790" w:rsidP="00B27EBA">
      <w:pPr>
        <w:spacing w:after="0"/>
        <w:contextualSpacing/>
        <w:jc w:val="both"/>
        <w:rPr>
          <w:rFonts w:eastAsia="Times New Roman"/>
          <w:b/>
          <w:bCs/>
          <w:color w:val="000000" w:themeColor="text1"/>
          <w:lang w:bidi="ne-NP"/>
        </w:rPr>
      </w:pPr>
      <w:r w:rsidRPr="004A782C">
        <w:rPr>
          <w:rFonts w:eastAsia="Times New Roman"/>
          <w:b/>
          <w:bCs/>
          <w:color w:val="000000" w:themeColor="text1"/>
          <w:lang w:bidi="ne-NP"/>
        </w:rPr>
        <w:t xml:space="preserve">Introduction </w:t>
      </w:r>
    </w:p>
    <w:p w14:paraId="781D4C68" w14:textId="4AA6D18F" w:rsidR="001E2790" w:rsidRPr="004A782C" w:rsidRDefault="00116DD7"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I</w:t>
      </w:r>
      <w:r w:rsidR="001E2790" w:rsidRPr="004A782C">
        <w:rPr>
          <w:rFonts w:eastAsia="Times New Roman"/>
          <w:color w:val="000000" w:themeColor="text1"/>
          <w:lang w:bidi="ne-NP"/>
        </w:rPr>
        <w:t xml:space="preserve"> investigated participants' attitudes towards mental health problems (ATMHP), considering demographic variables such as age, gender, ethnicity, religion, study levels, study fields, types of academic institutions, and familiarity with mental health problems. The aim of the study </w:t>
      </w:r>
      <w:r w:rsidR="00EE3BE0" w:rsidRPr="004A782C">
        <w:rPr>
          <w:rFonts w:eastAsia="Times New Roman"/>
          <w:color w:val="000000" w:themeColor="text1"/>
          <w:lang w:bidi="ne-NP"/>
        </w:rPr>
        <w:t>is</w:t>
      </w:r>
      <w:r w:rsidR="001E2790" w:rsidRPr="004A782C">
        <w:rPr>
          <w:rFonts w:eastAsia="Times New Roman"/>
          <w:color w:val="000000" w:themeColor="text1"/>
          <w:lang w:bidi="ne-NP"/>
        </w:rPr>
        <w:t xml:space="preserve"> to examine the relationship of ATMHP with various demographic variables. </w:t>
      </w:r>
    </w:p>
    <w:p w14:paraId="01E5B9D2" w14:textId="77777777" w:rsidR="00B27EBA" w:rsidRDefault="00B27EBA" w:rsidP="00B27EBA">
      <w:pPr>
        <w:spacing w:after="0"/>
        <w:contextualSpacing/>
        <w:jc w:val="both"/>
        <w:rPr>
          <w:rFonts w:eastAsia="Times New Roman"/>
          <w:b/>
          <w:bCs/>
          <w:color w:val="000000" w:themeColor="text1"/>
          <w:lang w:bidi="ne-NP"/>
        </w:rPr>
      </w:pPr>
    </w:p>
    <w:p w14:paraId="17093A4E" w14:textId="4BEDEE8F" w:rsidR="001E2790" w:rsidRPr="004A782C" w:rsidRDefault="001E2790" w:rsidP="00B27EBA">
      <w:pPr>
        <w:spacing w:after="0"/>
        <w:contextualSpacing/>
        <w:jc w:val="both"/>
        <w:rPr>
          <w:rFonts w:eastAsia="Times New Roman"/>
          <w:b/>
          <w:bCs/>
          <w:color w:val="000000" w:themeColor="text1"/>
          <w:lang w:bidi="ne-NP"/>
        </w:rPr>
      </w:pPr>
      <w:r w:rsidRPr="004A782C">
        <w:rPr>
          <w:rFonts w:eastAsia="Times New Roman"/>
          <w:b/>
          <w:bCs/>
          <w:color w:val="000000" w:themeColor="text1"/>
          <w:lang w:bidi="ne-NP"/>
        </w:rPr>
        <w:t xml:space="preserve">Methods </w:t>
      </w:r>
    </w:p>
    <w:p w14:paraId="580E7403" w14:textId="634BD143" w:rsidR="001E2790" w:rsidRPr="004A782C" w:rsidRDefault="00EE3BE0"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A cross-sectional research design </w:t>
      </w:r>
      <w:r w:rsidR="00116DD7" w:rsidRPr="004A782C">
        <w:rPr>
          <w:rFonts w:eastAsia="Times New Roman"/>
          <w:color w:val="000000" w:themeColor="text1"/>
          <w:lang w:bidi="ne-NP"/>
        </w:rPr>
        <w:t>was employed by u</w:t>
      </w:r>
      <w:r w:rsidR="001E2790" w:rsidRPr="004A782C">
        <w:rPr>
          <w:rFonts w:eastAsia="Times New Roman"/>
          <w:color w:val="000000" w:themeColor="text1"/>
          <w:lang w:bidi="ne-NP"/>
        </w:rPr>
        <w:t>s</w:t>
      </w:r>
      <w:r w:rsidR="00116DD7" w:rsidRPr="004A782C">
        <w:rPr>
          <w:rFonts w:eastAsia="Times New Roman"/>
          <w:color w:val="000000" w:themeColor="text1"/>
          <w:lang w:bidi="ne-NP"/>
        </w:rPr>
        <w:t>ing opportunity sampling, I</w:t>
      </w:r>
      <w:r w:rsidR="001E2790" w:rsidRPr="004A782C">
        <w:rPr>
          <w:rFonts w:eastAsia="Times New Roman"/>
          <w:color w:val="000000" w:themeColor="text1"/>
          <w:lang w:bidi="ne-NP"/>
        </w:rPr>
        <w:t xml:space="preserve"> sampled 348 participants from private, community and Government </w:t>
      </w:r>
      <w:r w:rsidR="00116DD7" w:rsidRPr="004A782C">
        <w:rPr>
          <w:rFonts w:eastAsia="Times New Roman"/>
          <w:color w:val="000000" w:themeColor="text1"/>
          <w:lang w:bidi="ne-NP"/>
        </w:rPr>
        <w:t xml:space="preserve">Colleges in Chitwan district. I </w:t>
      </w:r>
      <w:r w:rsidR="00DD70D5" w:rsidRPr="004A782C">
        <w:rPr>
          <w:rFonts w:eastAsia="Times New Roman"/>
          <w:color w:val="000000" w:themeColor="text1"/>
          <w:lang w:bidi="ne-NP"/>
        </w:rPr>
        <w:t>used</w:t>
      </w:r>
      <w:r w:rsidR="001E2790" w:rsidRPr="004A782C">
        <w:rPr>
          <w:rFonts w:eastAsia="Times New Roman"/>
          <w:color w:val="000000" w:themeColor="text1"/>
          <w:lang w:bidi="ne-NP"/>
        </w:rPr>
        <w:t xml:space="preserve"> </w:t>
      </w:r>
      <w:r w:rsidR="00DD70D5" w:rsidRPr="004A782C">
        <w:rPr>
          <w:rFonts w:eastAsia="Times New Roman"/>
          <w:color w:val="000000" w:themeColor="text1"/>
          <w:lang w:bidi="ne-NP"/>
        </w:rPr>
        <w:t>ATMHP</w:t>
      </w:r>
      <w:r w:rsidR="001E2790" w:rsidRPr="004A782C">
        <w:rPr>
          <w:rFonts w:eastAsia="Times New Roman"/>
          <w:color w:val="000000" w:themeColor="text1"/>
          <w:lang w:bidi="ne-NP"/>
        </w:rPr>
        <w:t xml:space="preserve"> s</w:t>
      </w:r>
      <w:r w:rsidR="00116DD7" w:rsidRPr="004A782C">
        <w:rPr>
          <w:rFonts w:eastAsia="Times New Roman"/>
          <w:color w:val="000000" w:themeColor="text1"/>
          <w:lang w:bidi="ne-NP"/>
        </w:rPr>
        <w:t>cale, a reliable and valid tool in 2022. I</w:t>
      </w:r>
      <w:r w:rsidR="001E2790" w:rsidRPr="004A782C">
        <w:rPr>
          <w:rFonts w:eastAsia="Times New Roman"/>
          <w:color w:val="000000" w:themeColor="text1"/>
          <w:lang w:bidi="ne-NP"/>
        </w:rPr>
        <w:t xml:space="preserve"> employed descriptive and inferential statistics to examine the relationship between ATMHP and various demographic factors, as well as the differences in ATMHP across different groups.</w:t>
      </w:r>
      <w:r w:rsidR="004A782C">
        <w:rPr>
          <w:rFonts w:eastAsia="Times New Roman"/>
          <w:color w:val="000000" w:themeColor="text1"/>
          <w:lang w:bidi="ne-NP"/>
        </w:rPr>
        <w:t xml:space="preserve"> </w:t>
      </w:r>
    </w:p>
    <w:p w14:paraId="2776C646" w14:textId="77777777" w:rsidR="00B27EBA" w:rsidRDefault="00B27EBA" w:rsidP="00B27EBA">
      <w:pPr>
        <w:spacing w:after="0"/>
        <w:contextualSpacing/>
        <w:jc w:val="both"/>
        <w:rPr>
          <w:rFonts w:eastAsia="Times New Roman"/>
          <w:b/>
          <w:bCs/>
          <w:color w:val="000000" w:themeColor="text1"/>
          <w:lang w:bidi="ne-NP"/>
        </w:rPr>
      </w:pPr>
    </w:p>
    <w:p w14:paraId="3D858157" w14:textId="651666E8" w:rsidR="001E2790" w:rsidRPr="004A782C" w:rsidRDefault="001E2790" w:rsidP="00B27EBA">
      <w:pPr>
        <w:spacing w:after="0"/>
        <w:contextualSpacing/>
        <w:jc w:val="both"/>
        <w:rPr>
          <w:rFonts w:eastAsia="Times New Roman"/>
          <w:b/>
          <w:bCs/>
          <w:color w:val="000000" w:themeColor="text1"/>
          <w:lang w:bidi="ne-NP"/>
        </w:rPr>
      </w:pPr>
      <w:r w:rsidRPr="004A782C">
        <w:rPr>
          <w:rFonts w:eastAsia="Times New Roman"/>
          <w:b/>
          <w:bCs/>
          <w:color w:val="000000" w:themeColor="text1"/>
          <w:lang w:bidi="ne-NP"/>
        </w:rPr>
        <w:t>Results</w:t>
      </w:r>
    </w:p>
    <w:p w14:paraId="45BFAFCF" w14:textId="2AF503B6" w:rsidR="001E2790" w:rsidRPr="004A782C" w:rsidRDefault="00116DD7"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I</w:t>
      </w:r>
      <w:r w:rsidR="001E2790" w:rsidRPr="004A782C">
        <w:rPr>
          <w:rFonts w:eastAsia="Times New Roman"/>
          <w:color w:val="000000" w:themeColor="text1"/>
          <w:lang w:bidi="ne-NP"/>
        </w:rPr>
        <w:t xml:space="preserve"> observed an overall unfavorable attitude towards mental health problems among the respondents. No significant differences were found between/among gender, ethnicity, religion, study levels, study fields, types of academic institutions, and familiarity with mental health </w:t>
      </w:r>
      <w:r w:rsidRPr="004A782C">
        <w:rPr>
          <w:rFonts w:eastAsia="Times New Roman"/>
          <w:color w:val="000000" w:themeColor="text1"/>
          <w:lang w:bidi="ne-NP"/>
        </w:rPr>
        <w:t xml:space="preserve">problems in the level of ATMHP. </w:t>
      </w:r>
    </w:p>
    <w:p w14:paraId="4EA6685A" w14:textId="77777777" w:rsidR="00B27EBA" w:rsidRDefault="00B27EBA" w:rsidP="00B27EBA">
      <w:pPr>
        <w:spacing w:after="0"/>
        <w:contextualSpacing/>
        <w:jc w:val="both"/>
        <w:rPr>
          <w:rFonts w:eastAsia="Times New Roman"/>
          <w:b/>
          <w:bCs/>
          <w:color w:val="000000" w:themeColor="text1"/>
          <w:lang w:bidi="ne-NP"/>
        </w:rPr>
      </w:pPr>
    </w:p>
    <w:p w14:paraId="65C883CB" w14:textId="12A13CCE" w:rsidR="001E2790" w:rsidRPr="004A782C" w:rsidRDefault="001E2790" w:rsidP="00B27EBA">
      <w:pPr>
        <w:spacing w:after="0"/>
        <w:contextualSpacing/>
        <w:jc w:val="both"/>
        <w:rPr>
          <w:rFonts w:eastAsia="Times New Roman"/>
          <w:b/>
          <w:bCs/>
          <w:color w:val="000000" w:themeColor="text1"/>
          <w:lang w:bidi="ne-NP"/>
        </w:rPr>
      </w:pPr>
      <w:r w:rsidRPr="004A782C">
        <w:rPr>
          <w:rFonts w:eastAsia="Times New Roman"/>
          <w:b/>
          <w:bCs/>
          <w:color w:val="000000" w:themeColor="text1"/>
          <w:lang w:bidi="ne-NP"/>
        </w:rPr>
        <w:t>Conclusion</w:t>
      </w:r>
    </w:p>
    <w:p w14:paraId="2332435A" w14:textId="7680B8DA" w:rsidR="00141B32" w:rsidRPr="004A782C" w:rsidRDefault="000F6259"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I</w:t>
      </w:r>
      <w:r w:rsidR="001E2790" w:rsidRPr="004A782C">
        <w:rPr>
          <w:rFonts w:eastAsia="Times New Roman"/>
          <w:color w:val="000000" w:themeColor="text1"/>
          <w:lang w:bidi="ne-NP"/>
        </w:rPr>
        <w:t xml:space="preserve"> observed generally unfavorable </w:t>
      </w:r>
      <w:r w:rsidR="00DD70D5" w:rsidRPr="004A782C">
        <w:rPr>
          <w:rFonts w:eastAsia="Times New Roman"/>
          <w:color w:val="000000" w:themeColor="text1"/>
          <w:lang w:bidi="ne-NP"/>
        </w:rPr>
        <w:t>ATMHP</w:t>
      </w:r>
      <w:r w:rsidR="001E2790" w:rsidRPr="004A782C">
        <w:rPr>
          <w:rFonts w:eastAsia="Times New Roman"/>
          <w:color w:val="000000" w:themeColor="text1"/>
          <w:lang w:bidi="ne-NP"/>
        </w:rPr>
        <w:t xml:space="preserve"> across the study, with no significant differences between comparison groups. </w:t>
      </w:r>
      <w:r w:rsidR="005B6932" w:rsidRPr="004A782C">
        <w:rPr>
          <w:rFonts w:eastAsia="Times New Roman"/>
          <w:color w:val="000000" w:themeColor="text1"/>
          <w:lang w:bidi="ne-NP"/>
        </w:rPr>
        <w:t>Unfavorable attitudes across all groups highlight the need for inclusive mental health education and stigma-reduction efforts in colleges.</w:t>
      </w:r>
    </w:p>
    <w:p w14:paraId="5F24D116" w14:textId="168D2F1D" w:rsidR="001E2790" w:rsidRPr="004A782C" w:rsidRDefault="001E2790" w:rsidP="00B27EBA">
      <w:pPr>
        <w:spacing w:after="0"/>
        <w:contextualSpacing/>
        <w:jc w:val="both"/>
        <w:rPr>
          <w:rFonts w:eastAsia="Times New Roman"/>
          <w:color w:val="000000" w:themeColor="text1"/>
          <w:lang w:bidi="ne-NP"/>
        </w:rPr>
      </w:pPr>
      <w:r w:rsidRPr="004A782C">
        <w:rPr>
          <w:rFonts w:eastAsia="Times New Roman"/>
          <w:b/>
          <w:bCs/>
          <w:i/>
          <w:iCs/>
          <w:color w:val="000000" w:themeColor="text1"/>
          <w:sz w:val="28"/>
          <w:szCs w:val="28"/>
          <w:lang w:bidi="ne-NP"/>
        </w:rPr>
        <w:lastRenderedPageBreak/>
        <w:t>Keywords:</w:t>
      </w:r>
      <w:r w:rsidR="00CF1215" w:rsidRPr="004A782C">
        <w:rPr>
          <w:rFonts w:eastAsia="Times New Roman"/>
          <w:color w:val="000000" w:themeColor="text1"/>
          <w:lang w:bidi="ne-NP"/>
        </w:rPr>
        <w:t xml:space="preserve"> attitudes</w:t>
      </w:r>
      <w:r w:rsidRPr="004A782C">
        <w:rPr>
          <w:rFonts w:eastAsia="Times New Roman"/>
          <w:color w:val="000000" w:themeColor="text1"/>
          <w:lang w:bidi="ne-NP"/>
        </w:rPr>
        <w:t>, mental health, stigma</w:t>
      </w:r>
      <w:r w:rsidR="00CF1215" w:rsidRPr="004A782C">
        <w:rPr>
          <w:rFonts w:eastAsia="Times New Roman"/>
          <w:color w:val="000000" w:themeColor="text1"/>
          <w:lang w:bidi="ne-NP"/>
        </w:rPr>
        <w:t>, students</w:t>
      </w:r>
    </w:p>
    <w:p w14:paraId="10A1170A" w14:textId="77777777" w:rsidR="00B27EBA" w:rsidRDefault="00B27EBA" w:rsidP="00B27EBA">
      <w:pPr>
        <w:spacing w:after="0"/>
        <w:contextualSpacing/>
        <w:jc w:val="both"/>
        <w:rPr>
          <w:rFonts w:eastAsia="Times New Roman"/>
          <w:b/>
          <w:bCs/>
          <w:color w:val="000000" w:themeColor="text1"/>
          <w:sz w:val="28"/>
          <w:szCs w:val="28"/>
          <w:lang w:bidi="ne-NP"/>
        </w:rPr>
      </w:pPr>
    </w:p>
    <w:p w14:paraId="01DBAC43" w14:textId="60FE2367" w:rsidR="00376127" w:rsidRPr="004A782C" w:rsidRDefault="004A782C" w:rsidP="00B27EBA">
      <w:pPr>
        <w:spacing w:after="0"/>
        <w:contextualSpacing/>
        <w:jc w:val="both"/>
        <w:rPr>
          <w:rFonts w:eastAsia="Times New Roman"/>
          <w:color w:val="000000" w:themeColor="text1"/>
          <w:sz w:val="28"/>
          <w:szCs w:val="28"/>
          <w:lang w:bidi="ne-NP"/>
        </w:rPr>
      </w:pPr>
      <w:r w:rsidRPr="004A782C">
        <w:rPr>
          <w:rFonts w:eastAsia="Times New Roman"/>
          <w:b/>
          <w:bCs/>
          <w:color w:val="000000" w:themeColor="text1"/>
          <w:sz w:val="28"/>
          <w:szCs w:val="28"/>
          <w:lang w:bidi="ne-NP"/>
        </w:rPr>
        <w:t xml:space="preserve">1. </w:t>
      </w:r>
      <w:r w:rsidR="00376127" w:rsidRPr="004A782C">
        <w:rPr>
          <w:rFonts w:eastAsia="Times New Roman"/>
          <w:b/>
          <w:bCs/>
          <w:color w:val="000000" w:themeColor="text1"/>
          <w:sz w:val="28"/>
          <w:szCs w:val="28"/>
          <w:lang w:bidi="ne-NP"/>
        </w:rPr>
        <w:t>Introduction</w:t>
      </w:r>
    </w:p>
    <w:p w14:paraId="11398F75" w14:textId="6DBA777F" w:rsidR="00116DD7" w:rsidRPr="004A782C" w:rsidRDefault="003B6C44" w:rsidP="00B27EBA">
      <w:pPr>
        <w:spacing w:after="0"/>
        <w:ind w:firstLine="700"/>
        <w:contextualSpacing/>
        <w:jc w:val="both"/>
        <w:rPr>
          <w:rFonts w:eastAsia="Times New Roman"/>
          <w:color w:val="000000"/>
          <w:lang w:bidi="ne-NP"/>
        </w:rPr>
      </w:pPr>
      <w:r w:rsidRPr="004A782C">
        <w:rPr>
          <w:rFonts w:eastAsia="Times New Roman"/>
          <w:color w:val="000000"/>
          <w:lang w:bidi="ne-NP"/>
        </w:rPr>
        <w:t xml:space="preserve">The concept of attitude has become central across various social science disciplines, denoting an individual’s relatively stable evaluative stance toward people, objects, or ideas. Originally derived from the language of painting and sculpture—where it described a poised, stable disposition—the term evolved to signify an internal, enduring </w:t>
      </w:r>
      <w:r w:rsidRPr="004A782C">
        <w:rPr>
          <w:rFonts w:eastAsia="Times New Roman"/>
          <w:color w:val="000000" w:themeColor="text1"/>
          <w:lang w:bidi="ne-NP"/>
        </w:rPr>
        <w:t>predisposition</w:t>
      </w:r>
      <w:r w:rsidR="00927517" w:rsidRPr="004A782C">
        <w:rPr>
          <w:rFonts w:eastAsia="Times New Roman"/>
          <w:color w:val="000000" w:themeColor="text1"/>
          <w:lang w:bidi="ne-NP"/>
        </w:rPr>
        <w:t xml:space="preserve"> </w:t>
      </w:r>
      <w:r w:rsidR="00927517" w:rsidRPr="004A782C">
        <w:rPr>
          <w:rFonts w:eastAsia="Times New Roman"/>
          <w:color w:val="000000" w:themeColor="text1"/>
          <w:lang w:bidi="ne-NP"/>
        </w:rPr>
        <w:fldChar w:fldCharType="begin" w:fldLock="1"/>
      </w:r>
      <w:r w:rsidR="00927517" w:rsidRPr="004A782C">
        <w:rPr>
          <w:rFonts w:eastAsia="Times New Roman"/>
          <w:color w:val="000000" w:themeColor="text1"/>
          <w:lang w:bidi="ne-NP"/>
        </w:rPr>
        <w:instrText>ADDIN CSL_CITATION {"citationItems":[{"id":"ITEM-1","itemData":{"DOI":"10.1016/B978-0-08-097086-8.03146-9","ISBN":"9780080970875","abstract":"The concept 'attitude' became used widely in several social science disciplines to indicate a relatively stable evaluative stance of a person toward any object. Originally from the language of painting and sculpture, the term became used to designate an inner preparedness of some stability. Rivaling with competitors in the public space around the turn of the twentieth century such as instinct, imitation, habit, etc., attitude outperformed others primarily because Thurstone suggested a measurement technique which became within a very short period of time the standard technique to gauge opinions. A set of items which could be scaled between opposing extremes is then an attitude variable and the single items are attitudes.","author":[{"dropping-particle":"","family":"Fleck","given":"Christian","non-dropping-particle":"","parse-names":false,"suffix":""}],"container-title":"International Encyclopedia of the Social &amp; Behavioral Sciences: Second Edition","id":"ITEM-1","issue":"November","issued":{"date-parts":[["2015"]]},"page":"175-177","title":"Attitude: History of Concept","type":"article-journal"},"uris":["http://www.mendeley.com/documents/?uuid=1ef4edd7-a75b-4277-a746-df72b45f6f21"]}],"mendeley":{"formattedCitation":"(Fleck, 2015)","plainTextFormattedCitation":"(Fleck, 2015)","previouslyFormattedCitation":"(Fleck, 2015)"},"properties":{"noteIndex":0},"schema":"https://github.com/citation-style-language/schema/raw/master/csl-citation.json"}</w:instrText>
      </w:r>
      <w:r w:rsidR="00927517" w:rsidRPr="004A782C">
        <w:rPr>
          <w:rFonts w:eastAsia="Times New Roman"/>
          <w:color w:val="000000" w:themeColor="text1"/>
          <w:lang w:bidi="ne-NP"/>
        </w:rPr>
        <w:fldChar w:fldCharType="separate"/>
      </w:r>
      <w:r w:rsidR="00927517" w:rsidRPr="004A782C">
        <w:rPr>
          <w:rFonts w:eastAsia="Times New Roman"/>
          <w:noProof/>
          <w:color w:val="000000" w:themeColor="text1"/>
          <w:lang w:bidi="ne-NP"/>
        </w:rPr>
        <w:t>(Fleck, 2015)</w:t>
      </w:r>
      <w:r w:rsidR="00927517" w:rsidRPr="004A782C">
        <w:rPr>
          <w:rFonts w:eastAsia="Times New Roman"/>
          <w:color w:val="000000" w:themeColor="text1"/>
          <w:lang w:bidi="ne-NP"/>
        </w:rPr>
        <w:fldChar w:fldCharType="end"/>
      </w:r>
      <w:r w:rsidRPr="004A782C">
        <w:rPr>
          <w:rFonts w:eastAsia="Times New Roman"/>
          <w:color w:val="000000" w:themeColor="text1"/>
          <w:lang w:bidi="ne-NP"/>
        </w:rPr>
        <w:t>. According to</w:t>
      </w:r>
      <w:r w:rsidR="00CF1215" w:rsidRPr="004A782C">
        <w:rPr>
          <w:rFonts w:eastAsia="Times New Roman"/>
          <w:color w:val="000000" w:themeColor="text1"/>
          <w:lang w:bidi="ne-NP"/>
        </w:rPr>
        <w:t xml:space="preserve"> </w:t>
      </w:r>
      <w:r w:rsidR="00CF1215" w:rsidRPr="004A782C">
        <w:rPr>
          <w:rFonts w:eastAsia="Times New Roman"/>
          <w:color w:val="000000" w:themeColor="text1"/>
          <w:lang w:bidi="ne-NP"/>
        </w:rPr>
        <w:fldChar w:fldCharType="begin" w:fldLock="1"/>
      </w:r>
      <w:r w:rsidR="00CF1215" w:rsidRPr="004A782C">
        <w:rPr>
          <w:rFonts w:eastAsia="Times New Roman"/>
          <w:color w:val="000000" w:themeColor="text1"/>
          <w:lang w:bidi="ne-NP"/>
        </w:rPr>
        <w:instrText>ADDIN CSL_CITATION {"citationItems":[{"id":"ITEM-1","itemData":{"ISBN":"978-93-325-8611-6","author":[{"dropping-particle":"","family":"Branscombe, Nyla R.; Baron","given":"Robert A.","non-dropping-particle":"","parse-names":false,"suffix":""}],"edition":"First Impr","id":"ITEM-1","issued":{"date-parts":[["2017"]]},"number-of-pages":"176","publisher":"Pearson India Education Services Pvt.Ltd.","publisher-place":"Noida, India","title":"Social Psychology","type":"book"},"uris":["http://www.mendeley.com/documents/?uuid=7d182667-d4f0-4cf7-b596-da7a276fc2b4"]}],"mendeley":{"formattedCitation":"(Branscombe, Nyla R.; Baron, 2017)","manualFormatting":"Branscombe et al. (2017)","plainTextFormattedCitation":"(Branscombe, Nyla R.; Baron, 2017)","previouslyFormattedCitation":"(Branscombe, Nyla R.; Baron, 2017)"},"properties":{"noteIndex":0},"schema":"https://github.com/citation-style-language/schema/raw/master/csl-citation.json"}</w:instrText>
      </w:r>
      <w:r w:rsidR="00CF1215" w:rsidRPr="004A782C">
        <w:rPr>
          <w:rFonts w:eastAsia="Times New Roman"/>
          <w:color w:val="000000" w:themeColor="text1"/>
          <w:lang w:bidi="ne-NP"/>
        </w:rPr>
        <w:fldChar w:fldCharType="separate"/>
      </w:r>
      <w:r w:rsidR="00CF1215" w:rsidRPr="004A782C">
        <w:rPr>
          <w:rFonts w:eastAsia="Times New Roman"/>
          <w:noProof/>
          <w:color w:val="000000" w:themeColor="text1"/>
          <w:lang w:bidi="ne-NP"/>
        </w:rPr>
        <w:t>Branscombe et al. (2017)</w:t>
      </w:r>
      <w:r w:rsidR="00CF1215" w:rsidRPr="004A782C">
        <w:rPr>
          <w:rFonts w:eastAsia="Times New Roman"/>
          <w:color w:val="000000" w:themeColor="text1"/>
          <w:lang w:bidi="ne-NP"/>
        </w:rPr>
        <w:fldChar w:fldCharType="end"/>
      </w:r>
      <w:r w:rsidRPr="004A782C">
        <w:rPr>
          <w:rFonts w:eastAsia="Times New Roman"/>
          <w:color w:val="000000" w:themeColor="text1"/>
          <w:lang w:bidi="ne-NP"/>
        </w:rPr>
        <w:t xml:space="preserve">, attitudes are not formed in isolation; rather, they are shaped through social learning mechanisms such as classical conditioning, instrumental reinforcement, and observational learning. The influence of reference groups—those we belong to or aspire to join—can significantly modify our attitudes toward new or unfamiliar subjects. Attitudes influence how we interpret the world around us, shaping our </w:t>
      </w:r>
      <w:r w:rsidRPr="004A782C">
        <w:rPr>
          <w:rFonts w:eastAsia="Times New Roman"/>
          <w:color w:val="000000"/>
          <w:lang w:bidi="ne-NP"/>
        </w:rPr>
        <w:t>perceptions, judgments, and behaviors. They may be explicit, consciously held and easily expressed, or implicit, residing outside of conscious awareness yet still shaping our responses.</w:t>
      </w:r>
    </w:p>
    <w:p w14:paraId="2F585D24" w14:textId="2676AC3F" w:rsidR="006C18A9" w:rsidRPr="004A782C" w:rsidRDefault="006772AD" w:rsidP="00B27EBA">
      <w:pPr>
        <w:spacing w:after="0"/>
        <w:ind w:firstLine="700"/>
        <w:contextualSpacing/>
        <w:jc w:val="both"/>
        <w:rPr>
          <w:rFonts w:eastAsia="Times New Roman"/>
          <w:color w:val="000000" w:themeColor="text1"/>
          <w:lang w:bidi="ne-NP"/>
        </w:rPr>
      </w:pPr>
      <w:r w:rsidRPr="004A782C">
        <w:rPr>
          <w:rFonts w:eastAsia="Times New Roman"/>
          <w:color w:val="000000"/>
          <w:lang w:bidi="ne-NP"/>
        </w:rPr>
        <w:t>According to the</w:t>
      </w:r>
      <w:r w:rsidR="00CF1215" w:rsidRPr="004A782C">
        <w:rPr>
          <w:rFonts w:eastAsia="Times New Roman"/>
          <w:color w:val="000000"/>
          <w:lang w:bidi="ne-NP"/>
        </w:rPr>
        <w:t xml:space="preserve"> </w:t>
      </w:r>
      <w:r w:rsidR="00CF1215" w:rsidRPr="004A782C">
        <w:rPr>
          <w:rFonts w:eastAsia="Times New Roman"/>
          <w:color w:val="000000" w:themeColor="text1"/>
          <w:lang w:bidi="ne-NP"/>
        </w:rPr>
        <w:fldChar w:fldCharType="begin" w:fldLock="1"/>
      </w:r>
      <w:r w:rsidR="00CF1215" w:rsidRPr="004A782C">
        <w:rPr>
          <w:rFonts w:eastAsia="Times New Roman"/>
          <w:color w:val="000000" w:themeColor="text1"/>
          <w:lang w:bidi="ne-NP"/>
        </w:rPr>
        <w:instrText>ADDIN CSL_CITATION {"citationItems":[{"id":"ITEM-1","itemData":{"author":[{"dropping-particle":"","family":"World Health Organization","given":"","non-dropping-particle":"","parse-names":false,"suffix":""}],"id":"ITEM-1","issued":{"date-parts":[["2001"]]},"title":"The World health report : 2001 : Mental health : new understanding, new hope","type":"report"},"uris":["http://www.mendeley.com/documents/?uuid=d287a147-3982-3d9f-94e9-02dbc09cf970"]}],"mendeley":{"formattedCitation":"(World Health Organization, 2001)","manualFormatting":"World Health Organization (2001)","plainTextFormattedCitation":"(World Health Organization, 2001)","previouslyFormattedCitation":"(World Health Organization, 2001)"},"properties":{"noteIndex":0},"schema":"https://github.com/citation-style-language/schema/raw/master/csl-citation.json"}</w:instrText>
      </w:r>
      <w:r w:rsidR="00CF1215" w:rsidRPr="004A782C">
        <w:rPr>
          <w:rFonts w:eastAsia="Times New Roman"/>
          <w:color w:val="000000" w:themeColor="text1"/>
          <w:lang w:bidi="ne-NP"/>
        </w:rPr>
        <w:fldChar w:fldCharType="separate"/>
      </w:r>
      <w:r w:rsidR="00CF1215" w:rsidRPr="004A782C">
        <w:rPr>
          <w:rFonts w:eastAsia="Times New Roman"/>
          <w:noProof/>
          <w:color w:val="000000" w:themeColor="text1"/>
          <w:lang w:bidi="ne-NP"/>
        </w:rPr>
        <w:t>World Health Organization (2001)</w:t>
      </w:r>
      <w:r w:rsidR="00CF1215" w:rsidRPr="004A782C">
        <w:rPr>
          <w:rFonts w:eastAsia="Times New Roman"/>
          <w:color w:val="000000" w:themeColor="text1"/>
          <w:lang w:bidi="ne-NP"/>
        </w:rPr>
        <w:fldChar w:fldCharType="end"/>
      </w:r>
      <w:r w:rsidRPr="004A782C">
        <w:rPr>
          <w:rFonts w:eastAsia="Times New Roman"/>
          <w:color w:val="000000" w:themeColor="text1"/>
          <w:lang w:bidi="ne-NP"/>
        </w:rPr>
        <w:t>, health is a complete state of physical, mental, and social well-being—not just the absence of disease. Mental health goes beyond the lack of mental disorders; it includes emotional, cognitive, and behavioral well-being, affecting how individuals think, feel, and act. It involves realizing one’s potential, coping with life’s stresses, working productively, and contributing to society. Mental health influences daily life and relationships, while life circumstances and physical health can, in turn, impact mental well-being</w:t>
      </w:r>
      <w:r w:rsidR="00927517" w:rsidRPr="004A782C">
        <w:rPr>
          <w:rFonts w:eastAsia="Times New Roman"/>
          <w:color w:val="000000" w:themeColor="text1"/>
          <w:lang w:bidi="ne-NP"/>
        </w:rPr>
        <w:t xml:space="preserve"> </w:t>
      </w:r>
      <w:r w:rsidR="00927517" w:rsidRPr="004A782C">
        <w:rPr>
          <w:rFonts w:eastAsia="Times New Roman"/>
          <w:color w:val="000000" w:themeColor="text1"/>
          <w:lang w:bidi="ne-NP"/>
        </w:rPr>
        <w:fldChar w:fldCharType="begin" w:fldLock="1"/>
      </w:r>
      <w:r w:rsidR="00684CE7" w:rsidRPr="004A782C">
        <w:rPr>
          <w:rFonts w:eastAsia="Times New Roman"/>
          <w:color w:val="000000" w:themeColor="text1"/>
          <w:lang w:bidi="ne-NP"/>
        </w:rPr>
        <w:instrText>ADDIN CSL_CITATION {"citationItems":[{"id":"ITEM-1","itemData":{"URL":"https://www.medicalnewstoday.com/articles/154543","accessed":{"date-parts":[["2021","9","10"]]},"author":[{"dropping-particle":"","family":"Felman","given":"Adam","non-dropping-particle":"","parse-names":false,"suffix":""}],"id":"ITEM-1","issued":{"date-parts":[["2020"]]},"title":"Mental health: Definition, common disorders, early signs, and more","type":"webpage"},"uris":["http://www.mendeley.com/documents/?uuid=42260c4e-35ca-30c7-9927-691e148485b9"]}],"mendeley":{"formattedCitation":"(Felman, 2020)","plainTextFormattedCitation":"(Felman, 2020)","previouslyFormattedCitation":"(Felman, 2020)"},"properties":{"noteIndex":0},"schema":"https://github.com/citation-style-language/schema/raw/master/csl-citation.json"}</w:instrText>
      </w:r>
      <w:r w:rsidR="00927517" w:rsidRPr="004A782C">
        <w:rPr>
          <w:rFonts w:eastAsia="Times New Roman"/>
          <w:color w:val="000000" w:themeColor="text1"/>
          <w:lang w:bidi="ne-NP"/>
        </w:rPr>
        <w:fldChar w:fldCharType="separate"/>
      </w:r>
      <w:r w:rsidR="00927517" w:rsidRPr="004A782C">
        <w:rPr>
          <w:rFonts w:eastAsia="Times New Roman"/>
          <w:noProof/>
          <w:color w:val="000000" w:themeColor="text1"/>
          <w:lang w:bidi="ne-NP"/>
        </w:rPr>
        <w:t>(Felman, 2020)</w:t>
      </w:r>
      <w:r w:rsidR="00927517" w:rsidRPr="004A782C">
        <w:rPr>
          <w:rFonts w:eastAsia="Times New Roman"/>
          <w:color w:val="000000" w:themeColor="text1"/>
          <w:lang w:bidi="ne-NP"/>
        </w:rPr>
        <w:fldChar w:fldCharType="end"/>
      </w:r>
      <w:r w:rsidRPr="004A782C">
        <w:rPr>
          <w:rFonts w:eastAsia="Times New Roman"/>
          <w:color w:val="000000" w:themeColor="text1"/>
          <w:lang w:bidi="ne-NP"/>
        </w:rPr>
        <w:t xml:space="preserve">. </w:t>
      </w:r>
      <w:r w:rsidR="006C18A9" w:rsidRPr="004A782C">
        <w:rPr>
          <w:rFonts w:eastAsia="Times New Roman"/>
          <w:color w:val="000000" w:themeColor="text1"/>
          <w:lang w:bidi="ne-NP"/>
        </w:rPr>
        <w:t>Using this insight, attitude towards mental health problems reflects people's evaluative stance, ranging from negative to positive, shaped by cultural interactions.</w:t>
      </w:r>
    </w:p>
    <w:p w14:paraId="78E3AA35" w14:textId="6CD89169" w:rsidR="002751AA" w:rsidRPr="004A782C" w:rsidRDefault="00CF1215" w:rsidP="00B27EBA">
      <w:pPr>
        <w:spacing w:after="0"/>
        <w:ind w:firstLine="700"/>
        <w:contextualSpacing/>
        <w:jc w:val="both"/>
        <w:rPr>
          <w:color w:val="000000" w:themeColor="text1"/>
        </w:rPr>
      </w:pPr>
      <w:r w:rsidRPr="004A782C">
        <w:rPr>
          <w:rFonts w:eastAsia="Times New Roman"/>
          <w:color w:val="000000" w:themeColor="text1"/>
          <w:lang w:bidi="ne-NP"/>
        </w:rPr>
        <w:t>Studies</w:t>
      </w:r>
      <w:r w:rsidR="006C18A9" w:rsidRPr="004A782C">
        <w:rPr>
          <w:rFonts w:eastAsia="Times New Roman"/>
          <w:color w:val="000000" w:themeColor="text1"/>
          <w:lang w:bidi="ne-NP"/>
        </w:rPr>
        <w:t xml:space="preserve"> found that individuals with mental illness are frequently stigmatized</w:t>
      </w:r>
      <w:r w:rsidRPr="004A782C">
        <w:rPr>
          <w:rFonts w:eastAsia="Times New Roman"/>
          <w:color w:val="000000" w:themeColor="text1"/>
          <w:lang w:bidi="ne-NP"/>
        </w:rPr>
        <w:t xml:space="preserve"> in Asia</w:t>
      </w:r>
      <w:r w:rsidR="00684CE7" w:rsidRPr="004A782C">
        <w:rPr>
          <w:rFonts w:eastAsia="Times New Roman"/>
          <w:color w:val="000000" w:themeColor="text1"/>
          <w:lang w:bidi="ne-NP"/>
        </w:rPr>
        <w:t xml:space="preserve"> </w:t>
      </w:r>
      <w:r w:rsidR="00684CE7" w:rsidRPr="004A782C">
        <w:rPr>
          <w:rFonts w:eastAsia="Times New Roman"/>
          <w:color w:val="000000" w:themeColor="text1"/>
          <w:lang w:bidi="ne-NP"/>
        </w:rPr>
        <w:fldChar w:fldCharType="begin" w:fldLock="1"/>
      </w:r>
      <w:r w:rsidRPr="004A782C">
        <w:rPr>
          <w:rFonts w:eastAsia="Times New Roman"/>
          <w:color w:val="000000" w:themeColor="text1"/>
          <w:lang w:bidi="ne-NP"/>
        </w:rPr>
        <w:instrText>ADDIN CSL_CITATION {"citationItems":[{"id":"ITEM-1","itemData":{"DOI":"10.1080/09540260701278903","ISSN":"09540261","PMID":"17464793","abstract":"Background: There is a wide range of literature on stigmatization and discrimination of people with mental illness. Most studies, however, derive from Western countries. This review aims at summarizing results from developing countries in Asia published between 1996-2006. Method: Medline search focusing on English-speaking literature. Results: Comparable to Western countries, there is a widespread tendency to stigmatize and discriminate people with mental illness in Asia. People with mental illness are considered as dangerous and aggressive which in turn increases the social distance. The role of supernatural, religious and magical approaches to mental illness is prevailing. The pathway to care is often shaped by scepticism towards mental health services and the treatments offered. Stigma experienced from family members is pervasive. Moreover, social disapproval and devaluation of families with mentally ill individuals are an important concern. This holds true particularly with regards to marriage, marital separation and divorce. Psychic symptoms, unlike somatic symptoms, are construed as socially disadvantageous. Thus, somatisation of psychiatric disorders is widespread in Asia. The most urgent problem of mental health care in Asia is the lack of personal and financial resources. Thus, mental health professionals are mostly located in urban areas. This increases the barriers to seek help and contributes to the stigmatization of the mentally ill. The attitude of mental health professionals towards people with mental illness is often stigmatizing. Conclusion: This review revealed that the stigmatization of people with mental illness is widespread in Asia. The features of stigmatization-beliefs about causes of and attitudes towards mental illness, consequences for help-seeking-have more commonalities than differences to Western countries. © 2007 Informa UK Ltd.","author":[{"dropping-particle":"","family":"Lauber","given":"Christoph","non-dropping-particle":"","parse-names":false,"suffix":""},{"dropping-particle":"","family":"Rössler","given":"Wulf","non-dropping-particle":"","parse-names":false,"suffix":""}],"container-title":"International Review of Psychiatry","id":"ITEM-1","issue":"2","issued":{"date-parts":[["2007"]]},"page":"157-178","title":"Stigma towards people with mental illness in developing countries in Asia","type":"article-journal","volume":"19"},"uris":["http://www.mendeley.com/documents/?uuid=f53a3398-1262-4dff-98da-c5b1439f03d5"]}],"mendeley":{"formattedCitation":"(Lauber &amp; Rössler, 2007)","manualFormatting":"(Lauber &amp; Rössler, 2007","plainTextFormattedCitation":"(Lauber &amp; Rössler, 2007)","previouslyFormattedCitation":"(Lauber &amp; Rössler, 2007)"},"properties":{"noteIndex":0},"schema":"https://github.com/citation-style-language/schema/raw/master/csl-citation.json"}</w:instrText>
      </w:r>
      <w:r w:rsidR="00684CE7" w:rsidRPr="004A782C">
        <w:rPr>
          <w:rFonts w:eastAsia="Times New Roman"/>
          <w:color w:val="000000" w:themeColor="text1"/>
          <w:lang w:bidi="ne-NP"/>
        </w:rPr>
        <w:fldChar w:fldCharType="separate"/>
      </w:r>
      <w:r w:rsidR="00684CE7" w:rsidRPr="004A782C">
        <w:rPr>
          <w:rFonts w:eastAsia="Times New Roman"/>
          <w:noProof/>
          <w:color w:val="000000" w:themeColor="text1"/>
          <w:lang w:bidi="ne-NP"/>
        </w:rPr>
        <w:t>(Lauber &amp; Rössler, 2007</w:t>
      </w:r>
      <w:r w:rsidR="00684CE7" w:rsidRPr="004A782C">
        <w:rPr>
          <w:rFonts w:eastAsia="Times New Roman"/>
          <w:color w:val="000000" w:themeColor="text1"/>
          <w:lang w:bidi="ne-NP"/>
        </w:rPr>
        <w:fldChar w:fldCharType="end"/>
      </w:r>
      <w:r w:rsidRPr="004A782C">
        <w:rPr>
          <w:rFonts w:eastAsia="Times New Roman"/>
          <w:color w:val="000000" w:themeColor="text1"/>
          <w:lang w:bidi="ne-NP"/>
        </w:rPr>
        <w:t>;</w:t>
      </w:r>
      <w:r w:rsidR="00196392" w:rsidRPr="004A782C">
        <w:rPr>
          <w:rFonts w:eastAsia="Times New Roman"/>
          <w:color w:val="000000" w:themeColor="text1"/>
          <w:lang w:bidi="ne-NP"/>
        </w:rPr>
        <w:t xml:space="preserve"> </w:t>
      </w:r>
      <w:r w:rsidR="00196392" w:rsidRPr="004A782C">
        <w:rPr>
          <w:rFonts w:eastAsia="Times New Roman"/>
          <w:color w:val="000000" w:themeColor="text1"/>
          <w:lang w:bidi="ne-NP"/>
        </w:rPr>
        <w:fldChar w:fldCharType="begin" w:fldLock="1"/>
      </w:r>
      <w:r w:rsidR="003511B3" w:rsidRPr="004A782C">
        <w:rPr>
          <w:rFonts w:eastAsia="Times New Roman"/>
          <w:color w:val="000000" w:themeColor="text1"/>
          <w:lang w:bidi="ne-NP"/>
        </w:rPr>
        <w:instrText>ADDIN CSL_CITATION {"citationItems":[{"id":"ITEM-1","itemData":{"author":[{"dropping-particle":"","family":"Poudel","given":"Dev Bandhu","non-dropping-particle":"","parse-names":false,"suffix":""},{"dropping-particle":"","family":"Dhakal","given":"Sandesh","non-dropping-particle":"","parse-names":false,"suffix":""},{"dropping-particle":"","family":"Khatri","given":"Bishnu Bahadur","non-dropping-particle":"","parse-names":false,"suffix":""}],"container-title":"Birat Journal of Helath Sciences","id":"ITEM-1","issue":"2","issued":{"date-parts":[["2025"]]},"page":"3-13","title":"Review Articles Attitudes Towards Mental Health Problems : A Scoping Review","type":"article-journal","volume":"9"},"uris":["http://www.mendeley.com/documents/?uuid=1c8b86f9-bb1b-44ff-b8ca-e807ed49ffa7"]}],"mendeley":{"formattedCitation":"(Poudel et al., 2025)","manualFormatting":"Poudel et al., 2025)","plainTextFormattedCitation":"(Poudel et al., 2025)","previouslyFormattedCitation":"(Poudel et al., 2025)"},"properties":{"noteIndex":0},"schema":"https://github.com/citation-style-language/schema/raw/master/csl-citation.json"}</w:instrText>
      </w:r>
      <w:r w:rsidR="00196392" w:rsidRPr="004A782C">
        <w:rPr>
          <w:rFonts w:eastAsia="Times New Roman"/>
          <w:color w:val="000000" w:themeColor="text1"/>
          <w:lang w:bidi="ne-NP"/>
        </w:rPr>
        <w:fldChar w:fldCharType="separate"/>
      </w:r>
      <w:r w:rsidR="00196392" w:rsidRPr="004A782C">
        <w:rPr>
          <w:rFonts w:eastAsia="Times New Roman"/>
          <w:noProof/>
          <w:color w:val="000000" w:themeColor="text1"/>
          <w:lang w:bidi="ne-NP"/>
        </w:rPr>
        <w:t>Poudel et al., 2025)</w:t>
      </w:r>
      <w:r w:rsidR="00196392" w:rsidRPr="004A782C">
        <w:rPr>
          <w:rFonts w:eastAsia="Times New Roman"/>
          <w:color w:val="000000" w:themeColor="text1"/>
          <w:lang w:bidi="ne-NP"/>
        </w:rPr>
        <w:fldChar w:fldCharType="end"/>
      </w:r>
      <w:r w:rsidR="006C18A9" w:rsidRPr="004A782C">
        <w:rPr>
          <w:rFonts w:eastAsia="Times New Roman"/>
          <w:color w:val="000000" w:themeColor="text1"/>
          <w:lang w:bidi="ne-NP"/>
        </w:rPr>
        <w:t>.</w:t>
      </w:r>
      <w:r w:rsidR="002751AA" w:rsidRPr="004A782C">
        <w:rPr>
          <w:rFonts w:eastAsia="Times New Roman"/>
          <w:color w:val="000000" w:themeColor="text1"/>
          <w:lang w:bidi="ne-NP"/>
        </w:rPr>
        <w:t xml:space="preserve"> </w:t>
      </w:r>
      <w:r w:rsidR="00EC2F47" w:rsidRPr="004A782C">
        <w:rPr>
          <w:rFonts w:eastAsia="Times New Roman"/>
          <w:color w:val="000000" w:themeColor="text1"/>
          <w:lang w:bidi="ne-NP"/>
        </w:rPr>
        <w:t>Familial shame, known as "</w:t>
      </w:r>
      <w:r w:rsidR="00EC2F47" w:rsidRPr="004A782C">
        <w:rPr>
          <w:rFonts w:eastAsia="Times New Roman"/>
          <w:i/>
          <w:iCs/>
          <w:color w:val="000000" w:themeColor="text1"/>
          <w:lang w:bidi="ne-NP"/>
        </w:rPr>
        <w:t>izzat</w:t>
      </w:r>
      <w:r w:rsidR="00EC2F47" w:rsidRPr="004A782C">
        <w:rPr>
          <w:rFonts w:eastAsia="Times New Roman"/>
          <w:color w:val="000000" w:themeColor="text1"/>
          <w:lang w:bidi="ne-NP"/>
        </w:rPr>
        <w:t>," plays a critical role in shaping the experiences of Asian women and is strongly associated with attitudes towards help-seeking</w:t>
      </w:r>
      <w:r w:rsidR="00684CE7" w:rsidRPr="004A782C">
        <w:rPr>
          <w:rFonts w:eastAsia="Times New Roman"/>
          <w:color w:val="000000" w:themeColor="text1"/>
          <w:lang w:bidi="ne-NP"/>
        </w:rPr>
        <w:t xml:space="preserve"> </w:t>
      </w:r>
      <w:r w:rsidR="00684CE7" w:rsidRPr="004A782C">
        <w:rPr>
          <w:rFonts w:eastAsia="Times New Roman"/>
          <w:color w:val="000000" w:themeColor="text1"/>
          <w:lang w:bidi="ne-NP"/>
        </w:rPr>
        <w:fldChar w:fldCharType="begin" w:fldLock="1"/>
      </w:r>
      <w:r w:rsidRPr="004A782C">
        <w:rPr>
          <w:rFonts w:eastAsia="Times New Roman"/>
          <w:color w:val="000000" w:themeColor="text1"/>
          <w:lang w:bidi="ne-NP"/>
        </w:rPr>
        <w:instrText>ADDIN CSL_CITATION {"citationItems":[{"id":"ITEM-1","itemData":{"DOI":"10.1080/13674670310001602418","ISSN":"13674676","abstract":"There is increasing evidence suggesting that shame, subordination and entrapment can play a powerful role in psychopathology. However, we know little about how these processes are experienced in different communities. This study therefore sets out to examine South Asian women's views of these processes and how they impact on their lives. It was found that reflected shame and honour (the shame and honour that can be brought to others by one's own behaviour) is called izzat. The importance of maintaining family honour and identifying with it (izzat) was linked to personal shame. It was also given as a reason people can be trapped in difficult relationships. Moreover, fear of reflected shame and loss of izzat were regarded as key reasons South Asian women might not use mental health services. A central fear was a failure by professionals to keep confidentiality - a fear found in other research. © 2004 Taylor &amp; Francis Ltd.","author":[{"dropping-particle":"","family":"Gilbert","given":"Paul","non-dropping-particle":"","parse-names":false,"suffix":""},{"dropping-particle":"","family":"Gilbert","given":"Jean","non-dropping-particle":"","parse-names":false,"suffix":""},{"dropping-particle":"","family":"Sanghera","given":"Jasvinder","non-dropping-particle":"","parse-names":false,"suffix":""}],"container-title":"Mental Health, Religion and Culture","id":"ITEM-1","issue":"2","issued":{"date-parts":[["2004"]]},"page":"109-130","title":"A focus group exploration of the impact of izzat, shame, subordination and entrapment on mental health and service use in South Asian women living in Derby","type":"article-journal","volume":"7"},"uris":["http://www.mendeley.com/documents/?uuid=91d343a0-d1af-4c6a-bf82-1efba55c8593"]}],"mendeley":{"formattedCitation":"(Gilbert et al., 2004)","manualFormatting":"(Gilbert et al., 2004","plainTextFormattedCitation":"(Gilbert et al., 2004)","previouslyFormattedCitation":"(Gilbert et al., 2004)"},"properties":{"noteIndex":0},"schema":"https://github.com/citation-style-language/schema/raw/master/csl-citation.json"}</w:instrText>
      </w:r>
      <w:r w:rsidR="00684CE7" w:rsidRPr="004A782C">
        <w:rPr>
          <w:rFonts w:eastAsia="Times New Roman"/>
          <w:color w:val="000000" w:themeColor="text1"/>
          <w:lang w:bidi="ne-NP"/>
        </w:rPr>
        <w:fldChar w:fldCharType="separate"/>
      </w:r>
      <w:r w:rsidR="00684CE7" w:rsidRPr="004A782C">
        <w:rPr>
          <w:rFonts w:eastAsia="Times New Roman"/>
          <w:noProof/>
          <w:color w:val="000000" w:themeColor="text1"/>
          <w:lang w:bidi="ne-NP"/>
        </w:rPr>
        <w:t>(Gilbert et al., 2004</w:t>
      </w:r>
      <w:r w:rsidR="00684CE7" w:rsidRPr="004A782C">
        <w:rPr>
          <w:rFonts w:eastAsia="Times New Roman"/>
          <w:color w:val="000000" w:themeColor="text1"/>
          <w:lang w:bidi="ne-NP"/>
        </w:rPr>
        <w:fldChar w:fldCharType="end"/>
      </w:r>
      <w:r w:rsidR="00EC2F47" w:rsidRPr="004A782C">
        <w:rPr>
          <w:rFonts w:eastAsia="Times New Roman"/>
          <w:color w:val="000000" w:themeColor="text1"/>
          <w:lang w:bidi="ne-NP"/>
        </w:rPr>
        <w:t xml:space="preserve">; </w:t>
      </w:r>
      <w:r w:rsidR="00EC2F47" w:rsidRPr="004A782C">
        <w:rPr>
          <w:color w:val="000000" w:themeColor="text1"/>
        </w:rPr>
        <w:fldChar w:fldCharType="begin" w:fldLock="1"/>
      </w:r>
      <w:r w:rsidR="00EC2F47" w:rsidRPr="004A782C">
        <w:rPr>
          <w:color w:val="000000" w:themeColor="text1"/>
        </w:rPr>
        <w:instrText>ADDIN CSL_CITATION {"citationItems":[{"id":"ITEM-1","itemData":{"abstract":"A portfolio submitted in partial fulfilment of the requirements of the University of Hertfordshire for the degree of DClinPsy.","author":[{"dropping-particle":"","family":"Thake","given":"Anna","non-dropping-particle":"","parse-names":false,"suffix":""}],"id":"ITEM-1","issue":"October","issued":{"date-parts":[["2014"]]},"title":"Factors influencing beliefs about mental health difficulties and attitudes towards seeking help amongst Nepalese people in the United Kingdom","type":"article-journal","volume":"1"},"uris":["http://www.mendeley.com/documents/?uuid=022876be-1908-449d-ada2-5262717c8869"]}],"mendeley":{"formattedCitation":"(Thake, 2014)","manualFormatting":"Thake, 2014)","plainTextFormattedCitation":"(Thake, 2014)","previouslyFormattedCitation":"(Thake, 2014)"},"properties":{"noteIndex":0},"schema":"https://github.com/citation-style-language/schema/raw/master/csl-citation.json"}</w:instrText>
      </w:r>
      <w:r w:rsidR="00EC2F47" w:rsidRPr="004A782C">
        <w:rPr>
          <w:color w:val="000000" w:themeColor="text1"/>
        </w:rPr>
        <w:fldChar w:fldCharType="separate"/>
      </w:r>
      <w:r w:rsidR="00EC2F47" w:rsidRPr="004A782C">
        <w:rPr>
          <w:noProof/>
          <w:color w:val="000000" w:themeColor="text1"/>
        </w:rPr>
        <w:t>Thake, 2014)</w:t>
      </w:r>
      <w:r w:rsidR="00EC2F47" w:rsidRPr="004A782C">
        <w:rPr>
          <w:color w:val="000000" w:themeColor="text1"/>
        </w:rPr>
        <w:fldChar w:fldCharType="end"/>
      </w:r>
      <w:r w:rsidR="00EC2F47" w:rsidRPr="004A782C">
        <w:rPr>
          <w:rFonts w:eastAsia="Times New Roman"/>
          <w:color w:val="000000" w:themeColor="text1"/>
          <w:lang w:bidi="ne-NP"/>
        </w:rPr>
        <w:t>. Additionally, Asian students are more concerned with external and reflected shame than non-Asian students, making them more susceptible to internal shame</w:t>
      </w:r>
      <w:r w:rsidR="00684CE7" w:rsidRPr="004A782C">
        <w:rPr>
          <w:rFonts w:eastAsia="Times New Roman"/>
          <w:color w:val="000000" w:themeColor="text1"/>
          <w:lang w:bidi="ne-NP"/>
        </w:rPr>
        <w:t xml:space="preserve"> </w:t>
      </w:r>
      <w:r w:rsidR="00684CE7" w:rsidRPr="004A782C">
        <w:rPr>
          <w:rFonts w:eastAsia="Times New Roman"/>
          <w:color w:val="000000" w:themeColor="text1"/>
          <w:lang w:bidi="ne-NP"/>
        </w:rPr>
        <w:fldChar w:fldCharType="begin" w:fldLock="1"/>
      </w:r>
      <w:r w:rsidR="00684CE7" w:rsidRPr="004A782C">
        <w:rPr>
          <w:rFonts w:eastAsia="Times New Roman"/>
          <w:color w:val="000000" w:themeColor="text1"/>
          <w:lang w:bidi="ne-NP"/>
        </w:rPr>
        <w:instrText>ADDIN CSL_CITATION {"citationItems":[{"id":"ITEM-1","itemData":{"DOI":"10.1080/13694670500415124","ISBN":"1369467050041","ISSN":"13674676","abstract":"This study explored differences in shame-focused attitudes to mental health problems in Asian and non-Asian students. The 'Attitudes Towards Mental Health Problems' (ATMHP) is a self-report scale designed for this study to measure: external shame (beliefs that others will look down on self if one has mental health problems); internal shame (related to negative self-evaluations); and reflected shame (believing that one can bring shame to family/community). A second questionnaire was designed to measure concerns with confidentiality. Results suggest that Asian students have higher external shame and reflected shame, but not internal shame beliefs. Asian students were also more concerned with confidentiality when it comes to talking about personal feeling/ anxieties.","author":[{"dropping-particle":"","family":"Gilbert","given":"Paul","non-dropping-particle":"","parse-names":false,"suffix":""},{"dropping-particle":"","family":"Bhundia","given":"Rakhee","non-dropping-particle":"","parse-names":false,"suffix":""},{"dropping-particle":"","family":"Mitra","given":"Ranjana","non-dropping-particle":"","parse-names":false,"suffix":""},{"dropping-particle":"","family":"McEwan","given":"Kirsten","non-dropping-particle":"","parse-names":false,"suffix":""},{"dropping-particle":"","family":"Irons","given":"Chris","non-dropping-particle":"","parse-names":false,"suffix":""},{"dropping-particle":"","family":"Sanghera","given":"Jasvinder","non-dropping-particle":"","parse-names":false,"suffix":""}],"container-title":"Mental Health, Religion and Culture","id":"ITEM-1","issue":"2","issued":{"date-parts":[["2007"]]},"page":"127-141","title":"Cultural differences in shame-focused attitudes towards mental health problems in Asian and non-Asian student women","type":"article-journal","volume":"10"},"uris":["http://www.mendeley.com/documents/?uuid=b51736a9-f7b8-450f-a3d6-2b9bc0addb9a"]}],"mendeley":{"formattedCitation":"(Gilbert et al., 2007)","plainTextFormattedCitation":"(Gilbert et al., 2007)","previouslyFormattedCitation":"(Gilbert et al., 2007)"},"properties":{"noteIndex":0},"schema":"https://github.com/citation-style-language/schema/raw/master/csl-citation.json"}</w:instrText>
      </w:r>
      <w:r w:rsidR="00684CE7" w:rsidRPr="004A782C">
        <w:rPr>
          <w:rFonts w:eastAsia="Times New Roman"/>
          <w:color w:val="000000" w:themeColor="text1"/>
          <w:lang w:bidi="ne-NP"/>
        </w:rPr>
        <w:fldChar w:fldCharType="separate"/>
      </w:r>
      <w:r w:rsidR="00684CE7" w:rsidRPr="004A782C">
        <w:rPr>
          <w:rFonts w:eastAsia="Times New Roman"/>
          <w:noProof/>
          <w:color w:val="000000" w:themeColor="text1"/>
          <w:lang w:bidi="ne-NP"/>
        </w:rPr>
        <w:t>(Gilbert et al., 2007)</w:t>
      </w:r>
      <w:r w:rsidR="00684CE7" w:rsidRPr="004A782C">
        <w:rPr>
          <w:rFonts w:eastAsia="Times New Roman"/>
          <w:color w:val="000000" w:themeColor="text1"/>
          <w:lang w:bidi="ne-NP"/>
        </w:rPr>
        <w:fldChar w:fldCharType="end"/>
      </w:r>
      <w:r w:rsidR="00684CE7" w:rsidRPr="004A782C">
        <w:rPr>
          <w:rFonts w:eastAsia="Times New Roman"/>
          <w:color w:val="000000" w:themeColor="text1"/>
          <w:lang w:bidi="ne-NP"/>
        </w:rPr>
        <w:t xml:space="preserve">. </w:t>
      </w:r>
      <w:r w:rsidR="003D5A5F" w:rsidRPr="004A782C">
        <w:rPr>
          <w:color w:val="000000" w:themeColor="text1"/>
        </w:rPr>
        <w:t>Studies show that people with stronger values tend to have more negative attitudes towards mental health problems</w:t>
      </w:r>
      <w:r w:rsidR="003D5A5F" w:rsidRPr="004A782C">
        <w:rPr>
          <w:rFonts w:eastAsia="Times New Roman"/>
          <w:color w:val="000000" w:themeColor="text1"/>
          <w:lang w:bidi="ne-NP"/>
        </w:rPr>
        <w:t xml:space="preserve"> </w:t>
      </w:r>
      <w:r w:rsidR="003D5A5F" w:rsidRPr="004A782C">
        <w:rPr>
          <w:color w:val="000000" w:themeColor="text1"/>
        </w:rPr>
        <w:fldChar w:fldCharType="begin" w:fldLock="1"/>
      </w:r>
      <w:r w:rsidR="003209B7" w:rsidRPr="004A782C">
        <w:rPr>
          <w:color w:val="000000" w:themeColor="text1"/>
        </w:rPr>
        <w:instrText>ADDIN CSL_CITATION {"citationItems":[{"id":"ITEM-1","itemData":{"DOI":"10.1186/s43045-022-00255-4","ISBN":"4304502200255","ISSN":"20905416","abstract":"Background: Mental health issues are still stigmatized in the United Arab Emirates (UAE), possibly due to cultural reasons. This implies that some mental health conditions (most notably depression and anxiety) are not properly treated, due to resistance to seek help. It is therefore important to assess attitudes towards mental health in the UAE and their possible association with other variables. Results: In this study with 201 participants, attitudes towards mental health were assessed. Results came out showing no association with gender, nationality, age, or emirate of residency. A correlation was found with traditional family values, and in turn, this adherence varied across genders, with males having higher levels. Conclusions: Mental health issues in the United Arab Emirates are still stigmatized, although some improvement is evident. Given that stronger values predict more negative attitudes towards mental health problem, it is recommended authorities in the United Arab Emirates attempt some cultural progressive reforms in order to remove the stigma from mental health problems.","author":[{"dropping-particle":"","family":"Andrade","given":"Gabriel","non-dropping-particle":"","parse-names":false,"suffix":""},{"dropping-particle":"","family":"Bedewy","given":"Dalia","non-dropping-particle":"","parse-names":false,"suffix":""},{"dropping-particle":"","family":"Elamin","given":"Ahmed Banibella Abdelmagid","non-dropping-particle":"","parse-names":false,"suffix":""},{"dropping-particle":"","family":"Abdelmonem","given":"Khadiga Yasser Abdelraouf","non-dropping-particle":"","parse-names":false,"suffix":""},{"dropping-particle":"","family":"Teir","given":"Hajar Jamal","non-dropping-particle":"","parse-names":false,"suffix":""},{"dropping-particle":"","family":"Alqaderi","given":"Nour","non-dropping-particle":"","parse-names":false,"suffix":""}],"container-title":"Middle East Current Psychiatry","id":"ITEM-1","issue":"1","issued":{"date-parts":[["2022"]]},"page":"2 - 6","publisher":"Springer Berlin Heidelberg","title":"Attitudes towards mental health problems in a sample of United Arab Emirates’ residents","type":"article-journal","volume":"29"},"uris":["http://www.mendeley.com/documents/?uuid=6fbb0023-07e0-4345-8a3c-64f280bdaa65"]}],"mendeley":{"formattedCitation":"(Andrade et al., 2022)","plainTextFormattedCitation":"(Andrade et al., 2022)","previouslyFormattedCitation":"(Andrade et al., 2022)"},"properties":{"noteIndex":0},"schema":"https://github.com/citation-style-language/schema/raw/master/csl-citation.json"}</w:instrText>
      </w:r>
      <w:r w:rsidR="003D5A5F" w:rsidRPr="004A782C">
        <w:rPr>
          <w:color w:val="000000" w:themeColor="text1"/>
        </w:rPr>
        <w:fldChar w:fldCharType="separate"/>
      </w:r>
      <w:r w:rsidR="003D5A5F" w:rsidRPr="004A782C">
        <w:rPr>
          <w:noProof/>
          <w:color w:val="000000" w:themeColor="text1"/>
        </w:rPr>
        <w:t>(Andrade et al., 2022)</w:t>
      </w:r>
      <w:r w:rsidR="003D5A5F" w:rsidRPr="004A782C">
        <w:rPr>
          <w:color w:val="000000" w:themeColor="text1"/>
        </w:rPr>
        <w:fldChar w:fldCharType="end"/>
      </w:r>
      <w:r w:rsidRPr="004A782C">
        <w:rPr>
          <w:color w:val="000000" w:themeColor="text1"/>
        </w:rPr>
        <w:t>.</w:t>
      </w:r>
    </w:p>
    <w:p w14:paraId="14F8C9F9" w14:textId="6C69C8AC" w:rsidR="00B4284B" w:rsidRPr="004A782C" w:rsidRDefault="006A02C3" w:rsidP="00B27EBA">
      <w:pPr>
        <w:spacing w:after="0"/>
        <w:ind w:firstLine="700"/>
        <w:contextualSpacing/>
        <w:jc w:val="both"/>
        <w:rPr>
          <w:color w:val="000000" w:themeColor="text1"/>
        </w:rPr>
      </w:pPr>
      <w:r w:rsidRPr="004A782C">
        <w:rPr>
          <w:color w:val="000000" w:themeColor="text1"/>
        </w:rPr>
        <w:t>Some studies have found that gender and age are significant indicators of negative attitudes towards mental health problems</w:t>
      </w:r>
      <w:r w:rsidR="00684CE7" w:rsidRPr="004A782C">
        <w:rPr>
          <w:color w:val="000000" w:themeColor="text1"/>
        </w:rPr>
        <w:t xml:space="preserve"> </w:t>
      </w:r>
      <w:r w:rsidR="00684CE7" w:rsidRPr="004A782C">
        <w:rPr>
          <w:color w:val="000000" w:themeColor="text1"/>
        </w:rPr>
        <w:fldChar w:fldCharType="begin" w:fldLock="1"/>
      </w:r>
      <w:r w:rsidR="00CF1215" w:rsidRPr="004A782C">
        <w:rPr>
          <w:color w:val="000000" w:themeColor="text1"/>
        </w:rPr>
        <w:instrText>ADDIN CSL_CITATION {"citationItems":[{"id":"ITEM-1","itemData":{"DOI":"10.1177/0020764018763685","ISSN":"17412854","PMID":"29521191","abstract":"Background and Aims: In recent years, there has been a growing awareness of the need to protect human rights in psychiatry. Within the last years, considerable effort has been made to reduce restrictive measures in mental health settings. Reducing restrictive measures within mental health care has also moved increasingly into the focus of public debate. This study aims, for the first time in a Southeast Asian sample, to explore whether socio-demographic factors affect public attitudes toward restrictions on mentally ill people in Hanoi, Vietnam. Methods: A general population-based survey (self-report questionnaire) was carried out in 2013 in the greater Hanoi area. The survey sample (N = 813) was recruited according to the latest published census (2009) and micro-census (2013) in Vietnam and Hanoi with regard to the socio-demographic factors gender, age, urbanity, household size and marital status. Multinomial logistic regressions for odds ratios with 95% confidence intervals were calculated to examine the influence of epidemiological variables, like gender and age, on the public attitude toward restrictions imposed on mentally ill people in Vietnam. Results: This study found, for the first time in a large Vietnamese sample, that gender and age were associated with public attitudes toward restrictions on mentally ill people. In detail, significantly fewer men endorsed compulsory admission to a hospital and abortion than Vietnamese women. In addition, endorsement of abortion was significantly higher in older people. Conclusion: The results offer some insight into roles of women in the Vietnamese society and might reflect the traditional gender expectations in Vietnamese families. Moreover, the results emphasize the need for supporting female psychiatric patients and their families within their communities and in the Vietnamese society.","author":[{"dropping-particle":"","family":"Laqua","given":"Carolin","non-dropping-particle":"","parse-names":false,"suffix":""},{"dropping-particle":"","family":"Hahn","given":"Eric","non-dropping-particle":"","parse-names":false,"suffix":""},{"dropping-particle":"","family":"Böge","given":"Kerem","non-dropping-particle":"","parse-names":false,"suffix":""},{"dropping-particle":"","family":"Martensen","given":"Lara K.","non-dropping-particle":"","parse-names":false,"suffix":""},{"dropping-particle":"","family":"Nguyen","given":"Tat Dinh","non-dropping-particle":"","parse-names":false,"suffix":""},{"dropping-particle":"","family":"Schomerus","given":"Georg","non-dropping-particle":"","parse-names":false,"suffix":""},{"dropping-particle":"","family":"Cao","given":"Tien Duc","non-dropping-particle":"","parse-names":false,"suffix":""},{"dropping-particle":"","family":"Dettling","given":"Michael","non-dropping-particle":"","parse-names":false,"suffix":""},{"dropping-particle":"","family":"Poser","given":"Anita","non-dropping-particle":"von","parse-names":false,"suffix":""},{"dropping-particle":"","family":"Lanca","given":"Joerg Christian","non-dropping-particle":"","parse-names":false,"suffix":""},{"dropping-particle":"","family":"Diefenbacher","given":"Albert","non-dropping-particle":"","parse-names":false,"suffix":""},{"dropping-particle":"","family":"Angermeyer","given":"Matthias C.","non-dropping-particle":"","parse-names":false,"suffix":""},{"dropping-particle":"","family":"Ta","given":"Thi Minh Tam","non-dropping-particle":"","parse-names":false,"suffix":""}],"container-title":"International Journal of Social Psychiatry","id":"ITEM-1","issue":"4","issued":{"date-parts":[["2018"]]},"page":"335-343","title":"Public attitude towards restrictions on persons with mental illness in greater Hanoi area, Vietnam","type":"article-journal","volume":"64"},"uris":["http://www.mendeley.com/documents/?uuid=920c6f84-05e1-4c70-9694-96f28083e856"]}],"mendeley":{"formattedCitation":"(Laqua et al., 2018)","manualFormatting":"(Laqua et al., 2018","plainTextFormattedCitation":"(Laqua et al., 2018)","previouslyFormattedCitation":"(Laqua et al., 2018)"},"properties":{"noteIndex":0},"schema":"https://github.com/citation-style-language/schema/raw/master/csl-citation.json"}</w:instrText>
      </w:r>
      <w:r w:rsidR="00684CE7" w:rsidRPr="004A782C">
        <w:rPr>
          <w:color w:val="000000" w:themeColor="text1"/>
        </w:rPr>
        <w:fldChar w:fldCharType="separate"/>
      </w:r>
      <w:r w:rsidR="00684CE7" w:rsidRPr="004A782C">
        <w:rPr>
          <w:noProof/>
          <w:color w:val="000000" w:themeColor="text1"/>
        </w:rPr>
        <w:t>(Laqua et al., 2018</w:t>
      </w:r>
      <w:r w:rsidR="00684CE7" w:rsidRPr="004A782C">
        <w:rPr>
          <w:color w:val="000000" w:themeColor="text1"/>
        </w:rPr>
        <w:fldChar w:fldCharType="end"/>
      </w:r>
      <w:r w:rsidR="00CF1215" w:rsidRPr="004A782C">
        <w:rPr>
          <w:color w:val="000000" w:themeColor="text1"/>
        </w:rPr>
        <w:t>;</w:t>
      </w:r>
      <w:r w:rsidR="00684CE7" w:rsidRPr="004A782C">
        <w:rPr>
          <w:color w:val="000000" w:themeColor="text1"/>
        </w:rPr>
        <w:t xml:space="preserve"> </w:t>
      </w:r>
      <w:r w:rsidR="00684CE7" w:rsidRPr="004A782C">
        <w:rPr>
          <w:color w:val="000000" w:themeColor="text1"/>
        </w:rPr>
        <w:fldChar w:fldCharType="begin" w:fldLock="1"/>
      </w:r>
      <w:r w:rsidR="00CF1215" w:rsidRPr="004A782C">
        <w:rPr>
          <w:color w:val="000000" w:themeColor="text1"/>
        </w:rPr>
        <w:instrText>ADDIN CSL_CITATION {"citationItems":[{"id":"ITEM-1","itemData":{"DOI":"10.1177/0020764020961797","ISSN":"17412854","PMID":"34278834","abstract":"Background: Addressing the social stigma of mental illness is of importance in Iraq where mentally ill patients experience the compounded disadvantages of inadequate health services and illness stigma. Aims: To study the prevalence and magnitude of the social stigma towards mental illnesses. Method: A cross-sectional study has been carried out on 300 male and female participants at shopping malls and public cafes in Baghdad, Iraq. A self-administered questionnaire made data collection. Descriptive, and analytic statics procedure was operated as far as a convenience by using Excel 365 version as a data management tool. Results: About (80%) of the respondents revealed a moderate degree of stigmatising attitude towards mental illness with a Likert scale total equivalent score range of (2.34–3.669). About (20%) of respondents showed a low degree of stigmatising attitude towards mental illness, with a Likert scale total equivalent score range of (1–2.339). P-value was highly significant (=0.011798) &lt;0.05 among gender variables while it is not significant among age, income, education, and positive family of mental illnesses. 83% of the respondents prefer the medical management of mental illnesses. Conclusions: There were no clear roles of socio-demographic factors in the stigmatic attitude towards mental illnesses. This finding warrants a more in-depth look into the Iraqi community’s cultural, social, and moral contexts.","author":[{"dropping-particle":"","family":"Younis","given":"Maha Sulaiman","non-dropping-particle":"","parse-names":false,"suffix":""},{"dropping-particle":"","family":"Anwer","given":"Arjan Hidayat","non-dropping-particle":"","parse-names":false,"suffix":""},{"dropping-particle":"","family":"Hussain","given":"Hamid Yahay","non-dropping-particle":"","parse-names":false,"suffix":""}],"container-title":"International Journal of Social Psychiatry","id":"ITEM-1","issue":"5","issued":{"date-parts":[["2020"]]},"page":"461-466","title":"Stigmatising attitude and reflections towards mental illness at community setting, population-based approach, Baghdad City 2020","type":"article-journal","volume":"67"},"uris":["http://www.mendeley.com/documents/?uuid=a4975003-5806-4511-b03b-e4a590c44a6a"]}],"mendeley":{"formattedCitation":"(Younis et al., 2020)","manualFormatting":"Younis et al., 2020)","plainTextFormattedCitation":"(Younis et al., 2020)","previouslyFormattedCitation":"(Younis et al., 2020)"},"properties":{"noteIndex":0},"schema":"https://github.com/citation-style-language/schema/raw/master/csl-citation.json"}</w:instrText>
      </w:r>
      <w:r w:rsidR="00684CE7" w:rsidRPr="004A782C">
        <w:rPr>
          <w:color w:val="000000" w:themeColor="text1"/>
        </w:rPr>
        <w:fldChar w:fldCharType="separate"/>
      </w:r>
      <w:r w:rsidR="00684CE7" w:rsidRPr="004A782C">
        <w:rPr>
          <w:noProof/>
          <w:color w:val="000000" w:themeColor="text1"/>
        </w:rPr>
        <w:t>Younis et al., 2020)</w:t>
      </w:r>
      <w:r w:rsidR="00684CE7" w:rsidRPr="004A782C">
        <w:rPr>
          <w:color w:val="000000" w:themeColor="text1"/>
        </w:rPr>
        <w:fldChar w:fldCharType="end"/>
      </w:r>
      <w:r w:rsidR="00684CE7" w:rsidRPr="004A782C">
        <w:rPr>
          <w:color w:val="000000" w:themeColor="text1"/>
        </w:rPr>
        <w:t xml:space="preserve">, </w:t>
      </w:r>
      <w:r w:rsidRPr="004A782C">
        <w:rPr>
          <w:color w:val="000000" w:themeColor="text1"/>
        </w:rPr>
        <w:t>while others have found that gender, age, or literacy status are non-significant factors</w:t>
      </w:r>
      <w:r w:rsidR="00CF1215" w:rsidRPr="004A782C">
        <w:rPr>
          <w:color w:val="000000" w:themeColor="text1"/>
        </w:rPr>
        <w:t xml:space="preserve"> </w:t>
      </w:r>
      <w:r w:rsidR="00CF1215" w:rsidRPr="004A782C">
        <w:rPr>
          <w:color w:val="000000" w:themeColor="text1"/>
        </w:rPr>
        <w:fldChar w:fldCharType="begin" w:fldLock="1"/>
      </w:r>
      <w:r w:rsidR="00CF1215" w:rsidRPr="004A782C">
        <w:rPr>
          <w:color w:val="000000" w:themeColor="text1"/>
        </w:rPr>
        <w:instrText>ADDIN CSL_CITATION {"citationItems":[{"id":"ITEM-1","itemData":{"DOI":"10.3390/bs14121189","ISSN":"2076328X","abstract":"(1) Background: Research on mental health literacy (MHL) and attitudes toward mental health problems (ATMHP) among non-medical college students in Nepal is limited. This study examined the relationship between MHL and ATMHP, considering demographic variables and familiarity with mental health issues; (2) Methods: We conducted a cross-sectional survey with 385 college students from Chitwan and Kathmandu, Nepal, using opportunity sampling. Descriptive and inferential statistics examined demographic differences, while Pearson’s correlation assessed relationships among latent variables; (3) Results: No relationship was found between MHL and ATMHP (r = −0.01, p = 0.92). Females had greater awareness of stereotypes (p = 0.025, g = 0.24). Hotel management students showed better self-help strategies (p = 0.036, d = 0.46). Public college students scored higher in self-help strategies than government (p = 0.036, d = −0.32) and private college students (p = 0.02, d = −0.32). Non-employed students outperformed employed ones in self-help strategies (p = 0.002, g = −0.46). Other demographic factors showed no significant relationships; (4) Conclusions: MHL and ATMHP were unrelated, indicating that increasing MHL alone may not improve attitudes. Multidimensional interventions combining education and experiential learning are needed. Certain demographic factors influenced stereotypes and self-help strategies, while others showed no significant impact.","author":[{"dropping-particle":"","family":"Poudel","given":"Dev Bandhu","non-dropping-particle":"","parse-names":false,"suffix":""},{"dropping-particle":"","family":"Sharif","given":"Loujain Saud","non-dropping-particle":"","parse-names":false,"suffix":""},{"dropping-particle":"","family":"Acharya","given":"Samjhana","non-dropping-particle":"","parse-names":false,"suffix":""},{"dropping-particle":"","family":"Mahsoon","given":"Alaa","non-dropping-particle":"","parse-names":false,"suffix":""},{"dropping-particle":"","family":"Sharif","given":"Khalid","non-dropping-particle":"","parse-names":false,"suffix":""},{"dropping-particle":"","family":"Wright","given":"Rebecca","non-dropping-particle":"","parse-names":false,"suffix":""}],"container-title":"Behavioral Sciences","id":"ITEM-1","issue":"12","issued":{"date-parts":[["2024"]]},"page":"1-18","title":"Mental health literacy and attitudes towards mental health problems among college students, Nepal","type":"article-journal","volume":"14"},"uris":["http://www.mendeley.com/documents/?uuid=3992344a-35f5-4019-94b8-8327000efb2c"]}],"mendeley":{"formattedCitation":"(Poudel et al., 2024)","manualFormatting":"(Poudel et al., 2024","plainTextFormattedCitation":"(Poudel et al., 2024)","previouslyFormattedCitation":"(Poudel et al., 2024)"},"properties":{"noteIndex":0},"schema":"https://github.com/citation-style-language/schema/raw/master/csl-citation.json"}</w:instrText>
      </w:r>
      <w:r w:rsidR="00CF1215" w:rsidRPr="004A782C">
        <w:rPr>
          <w:color w:val="000000" w:themeColor="text1"/>
        </w:rPr>
        <w:fldChar w:fldCharType="separate"/>
      </w:r>
      <w:r w:rsidR="00CF1215" w:rsidRPr="004A782C">
        <w:rPr>
          <w:noProof/>
          <w:color w:val="000000" w:themeColor="text1"/>
        </w:rPr>
        <w:t>(Poudel et al., 2024</w:t>
      </w:r>
      <w:r w:rsidR="00CF1215" w:rsidRPr="004A782C">
        <w:rPr>
          <w:color w:val="000000" w:themeColor="text1"/>
        </w:rPr>
        <w:fldChar w:fldCharType="end"/>
      </w:r>
      <w:r w:rsidR="00CF1215" w:rsidRPr="004A782C">
        <w:rPr>
          <w:color w:val="000000" w:themeColor="text1"/>
        </w:rPr>
        <w:t>;</w:t>
      </w:r>
      <w:r w:rsidR="00684CE7" w:rsidRPr="004A782C">
        <w:rPr>
          <w:color w:val="000000" w:themeColor="text1"/>
        </w:rPr>
        <w:t xml:space="preserve"> </w:t>
      </w:r>
      <w:r w:rsidR="00684CE7" w:rsidRPr="004A782C">
        <w:rPr>
          <w:color w:val="000000" w:themeColor="text1"/>
        </w:rPr>
        <w:fldChar w:fldCharType="begin" w:fldLock="1"/>
      </w:r>
      <w:r w:rsidR="00CF1215" w:rsidRPr="004A782C">
        <w:rPr>
          <w:color w:val="000000" w:themeColor="text1"/>
        </w:rPr>
        <w:instrText>ADDIN CSL_CITATION {"citationItems":[{"id":"ITEM-1","itemData":{"DOI":"10.4103/0253-7176.116244","ISSN":"02537176","abstract":"Background: Mental illness have been largely ignored or neglected because of a community's perception and attached social stigma. Materials and Methods: A community based cross-sectional study was conducted in an urban community in South Delhi to study perception and attitude of the community about towards mental illness. An adult member in household selected by systematic random sampling was interviewed using semi-structured interview schedule for perception about mental illness and 34 item Opinion about Mental Illness for Chinese Community (OMICC) scale Results: A total of 100 adults were interviewed. Mean age of the participants was 35.8 (SD: 12.6) years. Living without tension and satisfaction in routine life were identified as indicators of healthy mental status. Change in the behavior was perceived as the most common symptom of mental illness. Although mental stress was identified as the most common cause of mental illness, 25% attributed it to evil spirits. Keeping surroundings friendly and sharing problems with others were identified as - important preventive measures against mental illness. Mental illness was perceived as treatable; 12% preferred treatment from Tantric/Ojha. Community showed negative attitude for stereotyping, restrictiveness, and pessimistic prediction domains of OMICC scale with mean score of 4.5 (SD: 0.2), 3.9 (SD: 0.9), and 3.8 (SD: 0.4), respectively, with no statistically significant difference across age, sex, and literacy. Conclusion: Study observed lack of awareness regarding bio-medical concept of mental illness with socially restrictive, stereotyping, pessimistic, and non-stigmatizing attitude toward mental illness in the capital city.","author":[{"dropping-particle":"","family":"Salve","given":"Harshal","non-dropping-particle":"","parse-names":false,"suffix":""},{"dropping-particle":"","family":"Goswami","given":"Kiran","non-dropping-particle":"","parse-names":false,"suffix":""},{"dropping-particle":"","family":"Sagar","given":"Rajesh","non-dropping-particle":"","parse-names":false,"suffix":""},{"dropping-particle":"","family":"Nongkynrih","given":"Baridalyne","non-dropping-particle":"","parse-names":false,"suffix":""},{"dropping-particle":"","family":"Sreenivas","given":"Vishnubhatla","non-dropping-particle":"","parse-names":false,"suffix":""}],"container-title":"Indian Journal of Psychological Medicine","id":"ITEM-1","issue":"2","issued":{"date-parts":[["2013"]]},"page":"154-158","title":"Perception and attitude towards mental illness in an urban community in South Delhi - A community based study","type":"article-journal","volume":"35"},"uris":["http://www.mendeley.com/documents/?uuid=24cb1467-5893-44b5-b290-1e041f4fdade"]}],"mendeley":{"formattedCitation":"(Salve et al., 2013)","manualFormatting":"Salve et al., 2013)","plainTextFormattedCitation":"(Salve et al., 2013)","previouslyFormattedCitation":"(Salve et al., 2013)"},"properties":{"noteIndex":0},"schema":"https://github.com/citation-style-language/schema/raw/master/csl-citation.json"}</w:instrText>
      </w:r>
      <w:r w:rsidR="00684CE7" w:rsidRPr="004A782C">
        <w:rPr>
          <w:color w:val="000000" w:themeColor="text1"/>
        </w:rPr>
        <w:fldChar w:fldCharType="separate"/>
      </w:r>
      <w:r w:rsidR="00684CE7" w:rsidRPr="004A782C">
        <w:rPr>
          <w:noProof/>
          <w:color w:val="000000" w:themeColor="text1"/>
        </w:rPr>
        <w:t>Salve et al., 2013)</w:t>
      </w:r>
      <w:r w:rsidR="00684CE7" w:rsidRPr="004A782C">
        <w:rPr>
          <w:color w:val="000000" w:themeColor="text1"/>
        </w:rPr>
        <w:fldChar w:fldCharType="end"/>
      </w:r>
      <w:r w:rsidR="001B56A1" w:rsidRPr="004A782C">
        <w:rPr>
          <w:color w:val="000000" w:themeColor="text1"/>
        </w:rPr>
        <w:t xml:space="preserve"> </w:t>
      </w:r>
    </w:p>
    <w:p w14:paraId="6902520F" w14:textId="7C5959B5" w:rsidR="006A02C3" w:rsidRPr="004A782C" w:rsidRDefault="00AB739D" w:rsidP="00B27EBA">
      <w:pPr>
        <w:spacing w:after="0"/>
        <w:ind w:firstLine="700"/>
        <w:contextualSpacing/>
        <w:jc w:val="both"/>
        <w:rPr>
          <w:rFonts w:eastAsia="Times New Roman"/>
          <w:color w:val="000000" w:themeColor="text1"/>
          <w:lang w:bidi="ne-NP"/>
        </w:rPr>
      </w:pPr>
      <w:r w:rsidRPr="004A782C">
        <w:rPr>
          <w:rFonts w:eastAsia="Times New Roman"/>
          <w:lang w:bidi="ne-NP"/>
        </w:rPr>
        <w:t xml:space="preserve">Attitudes towards mental health in Nepal show </w:t>
      </w:r>
      <w:r w:rsidRPr="004A782C">
        <w:rPr>
          <w:rFonts w:eastAsia="Times New Roman"/>
          <w:color w:val="000000" w:themeColor="text1"/>
          <w:lang w:bidi="ne-NP"/>
        </w:rPr>
        <w:t xml:space="preserve">significant variability. Urban adults generally have more favorable attitudes than those in rural areas </w:t>
      </w:r>
      <w:r w:rsidRPr="004A782C">
        <w:rPr>
          <w:color w:val="000000" w:themeColor="text1"/>
        </w:rPr>
        <w:fldChar w:fldCharType="begin" w:fldLock="1"/>
      </w:r>
      <w:r w:rsidR="00B22730" w:rsidRPr="004A782C">
        <w:rPr>
          <w:color w:val="000000" w:themeColor="text1"/>
        </w:rPr>
        <w:instrText>ADDIN CSL_CITATION {"citationItems":[{"id":"ITEM-1","itemData":{"abstract":"Introduction: For all individuals, mental, physical and social health is vital strands of life that are closely interwoven and deeply interdependent. As understanding of this relationship grows, it becomes ever more apparent that mental health is crucial to the overall wellbeing of individuals, societies and countries. Unfortunately, in most parts of the world, mental health and mental disorders are not regarded with anything like the same importance as physical health. Instead, they have been: largely ignored or neglected. Methods: The correlational comparative study was carried out among 75 adults aged 20-60 years each residing in the rural and urban community of Jhapa district in eastern region of Nepal (i.e.150 in total) by using pre-tested structured interview schedule. Data were analysed by using SPSS and MS Excel. Results: The study concludes that the knowledge of the adults residing in the urban community regarding mental health and mental illness was higher than that of the adults residing in the rural community. The attitude of the adults residing in the urban community towards mental health and mental illness were more favourable as compared to the adults residing in rural community. There was a positive significant correlation between the knowledge attitude towards mental health and mental illness among adults in both the community. Conclusions: The findings suggest that the information booklet and various mass media should be developed to enhance their knowledge and change their attitude towards mental health and mental illness. Similar study should be replicated on larger samples. Key Words: Knowledge, attitude, mental health and illness, adults, rural and urban community.","author":[{"dropping-particle":"","family":"Singh","given":"Babita","non-dropping-particle":"","parse-names":false,"suffix":""},{"dropping-particle":"","family":"Singh","given":"Rakesh","non-dropping-particle":"","parse-names":false,"suffix":""},{"dropping-particle":"","family":"Singh","given":"Kaushal K","non-dropping-particle":"","parse-names":false,"suffix":""}],"container-title":"International Journal of Health Sciences and Research","id":"ITEM-1","issue":"9","issued":{"date-parts":[["2013"]]},"page":"29-34","title":"Knowledge and Attitude towards Mental Health and Mental Illness: An Issue among Rural and Urban Community of Jhapa District of Nepal.","type":"article-journal","volume":"3"},"uris":["http://www.mendeley.com/documents/?uuid=8d9dd939-1b65-42ff-9435-3b0c56ae65fd"]}],"mendeley":{"formattedCitation":"(Singh et al., 2013)","manualFormatting":"(Singh et al., 2013)","plainTextFormattedCitation":"(Singh et al., 2013)","previouslyFormattedCitation":"(Singh et al., 2013)"},"properties":{"noteIndex":0},"schema":"https://github.com/citation-style-language/schema/raw/master/csl-citation.json"}</w:instrText>
      </w:r>
      <w:r w:rsidRPr="004A782C">
        <w:rPr>
          <w:color w:val="000000" w:themeColor="text1"/>
        </w:rPr>
        <w:fldChar w:fldCharType="separate"/>
      </w:r>
      <w:r w:rsidRPr="004A782C">
        <w:rPr>
          <w:noProof/>
          <w:color w:val="000000" w:themeColor="text1"/>
        </w:rPr>
        <w:t>(Singh et al.</w:t>
      </w:r>
      <w:r w:rsidR="00B22730" w:rsidRPr="004A782C">
        <w:rPr>
          <w:noProof/>
          <w:color w:val="000000" w:themeColor="text1"/>
        </w:rPr>
        <w:t>, 2013</w:t>
      </w:r>
      <w:r w:rsidRPr="004A782C">
        <w:rPr>
          <w:noProof/>
          <w:color w:val="000000" w:themeColor="text1"/>
        </w:rPr>
        <w:t>)</w:t>
      </w:r>
      <w:r w:rsidRPr="004A782C">
        <w:rPr>
          <w:color w:val="000000" w:themeColor="text1"/>
        </w:rPr>
        <w:fldChar w:fldCharType="end"/>
      </w:r>
      <w:r w:rsidRPr="004A782C">
        <w:rPr>
          <w:rFonts w:eastAsia="Times New Roman"/>
          <w:color w:val="000000" w:themeColor="text1"/>
          <w:lang w:bidi="ne-NP"/>
        </w:rPr>
        <w:t>. While some studies report generally positive or neutral attitudes</w:t>
      </w:r>
      <w:r w:rsidR="004168EA" w:rsidRPr="004A782C">
        <w:rPr>
          <w:rFonts w:eastAsia="Times New Roman"/>
          <w:color w:val="000000" w:themeColor="text1"/>
          <w:lang w:bidi="ne-NP"/>
        </w:rPr>
        <w:t xml:space="preserve"> </w:t>
      </w:r>
      <w:r w:rsidR="004168EA" w:rsidRPr="004A782C">
        <w:rPr>
          <w:rFonts w:eastAsia="Times New Roman"/>
          <w:color w:val="000000" w:themeColor="text1"/>
          <w:lang w:bidi="ne-NP"/>
        </w:rPr>
        <w:fldChar w:fldCharType="begin" w:fldLock="1"/>
      </w:r>
      <w:r w:rsidR="004168EA" w:rsidRPr="004A782C">
        <w:rPr>
          <w:rFonts w:eastAsia="Times New Roman"/>
          <w:color w:val="000000" w:themeColor="text1"/>
          <w:lang w:bidi="ne-NP"/>
        </w:rPr>
        <w:instrText>ADDIN CSL_CITATION {"citationItems":[{"id":"ITEM-1","itemData":{"DOI":"10.31729/jnma.703","ISBN":"9849550155","ISSN":"00282715","PMID":"24362654","abstract":"Introduction: Medical students tend to have a neutral or negative attitude to Psychiatry as a discipline. This study was initiated to explore the attitude towards mental illness and Psychiatry among the medical students and interns in Kathmandu University School of Medical Sciences. Methods: A cross-sectional questionnaire based studywas conducted among the medical students and interns at Dhulikhel Hospital.Two self-rating scales; Attitudes towards Psychiatry-30 and Attitudes to Mental Illnesswere used to assess attitudes towards mental illness and Psychiatryamong the total 159 subjects. Descriptive statistics and independent sample t-test were applied using SPSS 16 for analysis. Results: Among the total 159 subjects, 44 (27.7%) were interns. Comparison of means of each item in Attitudes towards Psychiatry-30 and Attitudes to Mental Illnesswas done between males and females, medical students and interns, first semester and ninth semester students. Most of the subjects showed neutral attitude towards all the scoring items; though there were a few significant differences in mean scores of some items in group wise comparison. Conclusions: Overall attitudes towards mental illness and psychiatry among the medical students and interns in our medical school were positive or neutral. A further study with medical students from differentinstitutionsis needed to get a detail nationwide picture.","author":[{"dropping-particle":"","family":"Risal","given":"Ajay","non-dropping-particle":"","parse-names":false,"suffix":""},{"dropping-particle":"","family":"Sharma","given":"Pushpa Prasad","non-dropping-particle":"","parse-names":false,"suffix":""},{"dropping-particle":"","family":"Sanjel","given":"Seshananda","non-dropping-particle":"","parse-names":false,"suffix":""}],"container-title":"Journal of the Nepal Medical Association","id":"ITEM-1","issue":"6","issued":{"date-parts":[["2013"]]},"page":"322-331","title":"Attitude toward mental illness and psychiatry among the medical students and interns in a medical college","type":"article-journal","volume":"52"},"uris":["http://www.mendeley.com/documents/?uuid=dc3301e0-9e11-4f35-a931-65bf3e02e5c1"]}],"mendeley":{"formattedCitation":"(Risal et al., 2013)","plainTextFormattedCitation":"(Risal et al., 2013)","previouslyFormattedCitation":"(Risal et al., 2013)"},"properties":{"noteIndex":0},"schema":"https://github.com/citation-style-language/schema/raw/master/csl-citation.json"}</w:instrText>
      </w:r>
      <w:r w:rsidR="004168EA" w:rsidRPr="004A782C">
        <w:rPr>
          <w:rFonts w:eastAsia="Times New Roman"/>
          <w:color w:val="000000" w:themeColor="text1"/>
          <w:lang w:bidi="ne-NP"/>
        </w:rPr>
        <w:fldChar w:fldCharType="separate"/>
      </w:r>
      <w:r w:rsidR="004168EA" w:rsidRPr="004A782C">
        <w:rPr>
          <w:rFonts w:eastAsia="Times New Roman"/>
          <w:noProof/>
          <w:color w:val="000000" w:themeColor="text1"/>
          <w:lang w:bidi="ne-NP"/>
        </w:rPr>
        <w:t>(Risal et al., 2013)</w:t>
      </w:r>
      <w:r w:rsidR="004168EA" w:rsidRPr="004A782C">
        <w:rPr>
          <w:rFonts w:eastAsia="Times New Roman"/>
          <w:color w:val="000000" w:themeColor="text1"/>
          <w:lang w:bidi="ne-NP"/>
        </w:rPr>
        <w:fldChar w:fldCharType="end"/>
      </w:r>
      <w:r w:rsidRPr="004A782C">
        <w:rPr>
          <w:rFonts w:eastAsia="Times New Roman"/>
          <w:color w:val="000000" w:themeColor="text1"/>
          <w:lang w:bidi="ne-NP"/>
        </w:rPr>
        <w:t>, stigma persists even among the educated</w:t>
      </w:r>
      <w:r w:rsidR="004168EA" w:rsidRPr="004A782C">
        <w:rPr>
          <w:rFonts w:eastAsia="Times New Roman"/>
          <w:color w:val="000000" w:themeColor="text1"/>
          <w:lang w:bidi="ne-NP"/>
        </w:rPr>
        <w:t xml:space="preserve"> </w:t>
      </w:r>
      <w:r w:rsidR="004168EA" w:rsidRPr="004A782C">
        <w:rPr>
          <w:rFonts w:eastAsia="Times New Roman"/>
          <w:color w:val="000000" w:themeColor="text1"/>
          <w:lang w:bidi="ne-NP"/>
        </w:rPr>
        <w:fldChar w:fldCharType="begin" w:fldLock="1"/>
      </w:r>
      <w:r w:rsidR="004168EA" w:rsidRPr="004A782C">
        <w:rPr>
          <w:rFonts w:eastAsia="Times New Roman"/>
          <w:color w:val="000000" w:themeColor="text1"/>
          <w:lang w:bidi="ne-NP"/>
        </w:rPr>
        <w:instrText>ADDIN CSL_CITATION {"citationItems":[{"id":"ITEM-1","itemData":{"author":[{"dropping-particle":"","family":"Pokharel","given":"B","non-dropping-particle":"","parse-names":false,"suffix":""},{"dropping-particle":"","family":"Pokharel","given":"A","non-dropping-particle":"","parse-names":false,"suffix":""}],"container-title":"Birat Journal of Health Sciences","id":"ITEM-1","issue":"3","issued":{"date-parts":[["2017"]]},"page":"292-295","title":"Perceived stigma towards mental illness among college students of western Nepal.","type":"article-journal","volume":"2"},"uris":["http://www.mendeley.com/documents/?uuid=28cd9540-b761-4aeb-ac7d-c2bb9d950d53"]}],"mendeley":{"formattedCitation":"(Pokharel &amp; Pokharel, 2017)","plainTextFormattedCitation":"(Pokharel &amp; Pokharel, 2017)","previouslyFormattedCitation":"(Pokharel &amp; Pokharel, 2017)"},"properties":{"noteIndex":0},"schema":"https://github.com/citation-style-language/schema/raw/master/csl-citation.json"}</w:instrText>
      </w:r>
      <w:r w:rsidR="004168EA" w:rsidRPr="004A782C">
        <w:rPr>
          <w:rFonts w:eastAsia="Times New Roman"/>
          <w:color w:val="000000" w:themeColor="text1"/>
          <w:lang w:bidi="ne-NP"/>
        </w:rPr>
        <w:fldChar w:fldCharType="separate"/>
      </w:r>
      <w:r w:rsidR="004168EA" w:rsidRPr="004A782C">
        <w:rPr>
          <w:rFonts w:eastAsia="Times New Roman"/>
          <w:noProof/>
          <w:color w:val="000000" w:themeColor="text1"/>
          <w:lang w:bidi="ne-NP"/>
        </w:rPr>
        <w:t>(Pokharel &amp; Pokharel, 2017)</w:t>
      </w:r>
      <w:r w:rsidR="004168EA" w:rsidRPr="004A782C">
        <w:rPr>
          <w:rFonts w:eastAsia="Times New Roman"/>
          <w:color w:val="000000" w:themeColor="text1"/>
          <w:lang w:bidi="ne-NP"/>
        </w:rPr>
        <w:fldChar w:fldCharType="end"/>
      </w:r>
      <w:r w:rsidRPr="004A782C">
        <w:rPr>
          <w:rFonts w:eastAsia="Times New Roman"/>
          <w:color w:val="000000" w:themeColor="text1"/>
          <w:lang w:bidi="ne-NP"/>
        </w:rPr>
        <w:t xml:space="preserve"> and overall negative attitudes are noted</w:t>
      </w:r>
      <w:r w:rsidR="003209B7" w:rsidRPr="004A782C">
        <w:rPr>
          <w:rFonts w:eastAsia="Times New Roman"/>
          <w:color w:val="000000" w:themeColor="text1"/>
          <w:lang w:bidi="ne-NP"/>
        </w:rPr>
        <w:t xml:space="preserve"> </w:t>
      </w:r>
      <w:r w:rsidR="003209B7" w:rsidRPr="004A782C">
        <w:rPr>
          <w:rFonts w:eastAsia="Times New Roman"/>
          <w:color w:val="000000" w:themeColor="text1"/>
          <w:lang w:bidi="ne-NP"/>
        </w:rPr>
        <w:fldChar w:fldCharType="begin" w:fldLock="1"/>
      </w:r>
      <w:r w:rsidR="00F07AF5" w:rsidRPr="004A782C">
        <w:rPr>
          <w:rFonts w:eastAsia="Times New Roman"/>
          <w:color w:val="000000" w:themeColor="text1"/>
          <w:lang w:bidi="ne-NP"/>
        </w:rPr>
        <w:instrText>ADDIN CSL_CITATION {"citationItems":[{"id":"ITEM-1","itemData":{"DOI":"10.3126/jngmc.v16i1.24230","ISSN":"2362-1192","abstract":"Background: The universality of harmful beliefs and subsequent negative attitude towards the persons with mental illness among medical students are the main obstacles facing the mentally ill people that further prevents them from seeking help and care for their mental health problems. Mental health education plays a significant role in changing medical students' attitude towards persons with mental illness.\r Aim: The aim of this study was to assess undergraduate medical students' attitude towards persons with mental illness and to compare their attitudes before and after mental health education.\r Materials and methods: A longitudinal prospective study was carried on final year MBBS students (N=68) from June, 2017 to November, 2017. Pretest- posttest design was adopted using Attitude Scale for Mental Illness (ASMI) before and after theory classes and clinical posting for mental health education.\r Results: Findings of present study revealed that these students were less stigmatized (6.44+1.93). Domain of restrictiveness improved (9.44+2.94 from 10.54+3.09) and benevolence increased significantly (t=2.440; P=0.017*) after mental health education and training. Overall attitude of the study population was found to have unhealthy attitude towards persons with mental illness since the mean scores on separatism, stereotyping, restrictiveness and pessimistic prediction subscales were elevated on ASMI.\r Conclusion: In conclusion, mental health education was found to be effective in changing the attitude of restrictiveness i.e., decreasing an uncertain view on the rights of people with mental illness and increasing kindness and sympathetic view to some extent among undergraduate medical students towards the persons with mental illness.","author":[{"dropping-particle":"","family":"Jalan","given":"Rekha","non-dropping-particle":"","parse-names":false,"suffix":""}],"container-title":"Journal of Nepalgunj Medical College","id":"ITEM-1","issue":"1","issued":{"date-parts":[["2018"]]},"page":"48-53","title":"Attitudes of Undergraduate Medical Students towards the Persons with Mental Illness in a Medical College of Western Region of Nepal","type":"article-journal","volume":"16"},"uris":["http://www.mendeley.com/documents/?uuid=b4eceba2-7c7d-4098-ab4d-b39541bebbd3"]}],"mendeley":{"formattedCitation":"(Jalan, 2018)","plainTextFormattedCitation":"(Jalan, 2018)","previouslyFormattedCitation":"(Jalan, 2018)"},"properties":{"noteIndex":0},"schema":"https://github.com/citation-style-language/schema/raw/master/csl-citation.json"}</w:instrText>
      </w:r>
      <w:r w:rsidR="003209B7" w:rsidRPr="004A782C">
        <w:rPr>
          <w:rFonts w:eastAsia="Times New Roman"/>
          <w:color w:val="000000" w:themeColor="text1"/>
          <w:lang w:bidi="ne-NP"/>
        </w:rPr>
        <w:fldChar w:fldCharType="separate"/>
      </w:r>
      <w:r w:rsidR="003209B7" w:rsidRPr="004A782C">
        <w:rPr>
          <w:rFonts w:eastAsia="Times New Roman"/>
          <w:noProof/>
          <w:color w:val="000000" w:themeColor="text1"/>
          <w:lang w:bidi="ne-NP"/>
        </w:rPr>
        <w:t>(Jalan, 2018)</w:t>
      </w:r>
      <w:r w:rsidR="003209B7" w:rsidRPr="004A782C">
        <w:rPr>
          <w:rFonts w:eastAsia="Times New Roman"/>
          <w:color w:val="000000" w:themeColor="text1"/>
          <w:lang w:bidi="ne-NP"/>
        </w:rPr>
        <w:fldChar w:fldCharType="end"/>
      </w:r>
      <w:r w:rsidR="003209B7" w:rsidRPr="004A782C">
        <w:rPr>
          <w:rFonts w:eastAsia="Times New Roman"/>
          <w:color w:val="000000" w:themeColor="text1"/>
          <w:lang w:bidi="ne-NP"/>
        </w:rPr>
        <w:t xml:space="preserve">. </w:t>
      </w:r>
      <w:r w:rsidRPr="004A782C">
        <w:rPr>
          <w:rFonts w:eastAsia="Times New Roman"/>
          <w:color w:val="000000" w:themeColor="text1"/>
          <w:lang w:bidi="ne-NP"/>
        </w:rPr>
        <w:t>Additionally, a negative correlation was found between attitude scores and factors such as grade, gender, and parental education, with no significant associations with ethnicity or family psychiatric history</w:t>
      </w:r>
      <w:r w:rsidR="004168EA" w:rsidRPr="004A782C">
        <w:rPr>
          <w:rFonts w:eastAsia="Times New Roman"/>
          <w:color w:val="000000" w:themeColor="text1"/>
          <w:lang w:bidi="ne-NP"/>
        </w:rPr>
        <w:t xml:space="preserve"> </w:t>
      </w:r>
      <w:r w:rsidR="004168EA" w:rsidRPr="004A782C">
        <w:rPr>
          <w:rFonts w:eastAsia="Times New Roman"/>
          <w:color w:val="000000" w:themeColor="text1"/>
          <w:lang w:bidi="ne-NP"/>
        </w:rPr>
        <w:fldChar w:fldCharType="begin" w:fldLock="1"/>
      </w:r>
      <w:r w:rsidR="004168EA" w:rsidRPr="004A782C">
        <w:rPr>
          <w:rFonts w:eastAsia="Times New Roman"/>
          <w:color w:val="000000" w:themeColor="text1"/>
          <w:lang w:bidi="ne-NP"/>
        </w:rPr>
        <w:instrText>ADDIN CSL_CITATION {"citationItems":[{"id":"ITEM-1","itemData":{"DOI":"10.3126/jpan.v9i1.31337","ISSN":"2091-2862","abstract":" \r  Introduction: Mental disorders are recognized as a major contributor (12%) to the global burden of disease and are among the most stigmatizing conditions worldwide. The lack of awareness is very evident in Nepal. In this study, we aimed to learn about the attitude of senior secondary level students towards mental illness.\r Material And Method: Descriptive cross-sectional study was conducted amongst senior secondary level students to investigate about their attitude towards mental illness. We recruited a sample of 138 students from classes 11 and 12 from a conveniently sampled school of Dharan Sub-metropolitan. Semi-structured questionnaire was used to elicit the information.\r Results: Our study group consisted of 53.6% females while 46.4% were males. Equal numbers of students were sampled from each grades with their ages ranging from 14-18 years. The mean for total of BMI scale was 52 and the standard deviation was observed to be 12.810. The T-tests revealed males had more negative attitude than the female students which was statistically significant with a p value of 0.048. Our study revealed that there was a significant negative correlation between the attitude scores and the grade the respondents were studying and also between the gender of the respondent, father’s and mother’s education level and in students having a family member or neighbor suffer from mental illness.\r Conclusion: Most of the students in the senior secondary level were found to have negative attitudes towards mental illness though no any variables were found to be contributing towards such perceptions from our research.","author":[{"dropping-particle":"","family":"Nepal","given":"S","non-dropping-particle":"","parse-names":false,"suffix":""},{"dropping-particle":"","family":"Rayamajhi","given":"A","non-dropping-particle":"","parse-names":false,"suffix":""},{"dropping-particle":"","family":"Shrestha","given":"M.","non-dropping-particle":"","parse-names":false,"suffix":""},{"dropping-particle":"","family":"Aryal","given":"N","non-dropping-particle":"","parse-names":false,"suffix":""}],"container-title":"Journal of Psychiatrists' Association of Nepal","id":"ITEM-1","issue":"1","issued":{"date-parts":[["2020"]]},"page":"47-52","title":"Attitude of Senior Secondary Level Students towards Mental Illness","type":"article-journal","volume":"9"},"uris":["http://www.mendeley.com/documents/?uuid=33a77d40-d05b-4980-a362-3b2ca480d39e"]}],"mendeley":{"formattedCitation":"(Nepal et al., 2020)","plainTextFormattedCitation":"(Nepal et al., 2020)","previouslyFormattedCitation":"(Nepal et al., 2020)"},"properties":{"noteIndex":0},"schema":"https://github.com/citation-style-language/schema/raw/master/csl-citation.json"}</w:instrText>
      </w:r>
      <w:r w:rsidR="004168EA" w:rsidRPr="004A782C">
        <w:rPr>
          <w:rFonts w:eastAsia="Times New Roman"/>
          <w:color w:val="000000" w:themeColor="text1"/>
          <w:lang w:bidi="ne-NP"/>
        </w:rPr>
        <w:fldChar w:fldCharType="separate"/>
      </w:r>
      <w:r w:rsidR="004168EA" w:rsidRPr="004A782C">
        <w:rPr>
          <w:rFonts w:eastAsia="Times New Roman"/>
          <w:noProof/>
          <w:color w:val="000000" w:themeColor="text1"/>
          <w:lang w:bidi="ne-NP"/>
        </w:rPr>
        <w:t>(Nepal et al., 2020)</w:t>
      </w:r>
      <w:r w:rsidR="004168EA" w:rsidRPr="004A782C">
        <w:rPr>
          <w:rFonts w:eastAsia="Times New Roman"/>
          <w:color w:val="000000" w:themeColor="text1"/>
          <w:lang w:bidi="ne-NP"/>
        </w:rPr>
        <w:fldChar w:fldCharType="end"/>
      </w:r>
      <w:r w:rsidR="004168EA" w:rsidRPr="004A782C">
        <w:rPr>
          <w:rFonts w:eastAsia="Times New Roman"/>
          <w:color w:val="000000" w:themeColor="text1"/>
          <w:lang w:bidi="ne-NP"/>
        </w:rPr>
        <w:t>.</w:t>
      </w:r>
    </w:p>
    <w:p w14:paraId="669D0DDB" w14:textId="30FD5FE7" w:rsidR="003209B7" w:rsidRPr="004A782C" w:rsidRDefault="003209B7" w:rsidP="00B27EBA">
      <w:pPr>
        <w:spacing w:after="0"/>
        <w:ind w:firstLine="700"/>
        <w:contextualSpacing/>
        <w:jc w:val="both"/>
        <w:rPr>
          <w:rFonts w:eastAsia="Times New Roman"/>
          <w:color w:val="000000" w:themeColor="text1"/>
          <w:lang w:bidi="ne-NP"/>
        </w:rPr>
      </w:pPr>
      <w:r w:rsidRPr="004A782C">
        <w:rPr>
          <w:rFonts w:eastAsia="Times New Roman"/>
          <w:color w:val="000000" w:themeColor="text1"/>
          <w:lang w:bidi="ne-NP"/>
        </w:rPr>
        <w:lastRenderedPageBreak/>
        <w:t xml:space="preserve">Studies on </w:t>
      </w:r>
      <w:r w:rsidR="00DD70D5" w:rsidRPr="004A782C">
        <w:rPr>
          <w:rFonts w:eastAsia="Times New Roman"/>
          <w:color w:val="000000" w:themeColor="text1"/>
          <w:lang w:bidi="ne-NP"/>
        </w:rPr>
        <w:t>ATMHP are increasing</w:t>
      </w:r>
      <w:r w:rsidRPr="004A782C">
        <w:rPr>
          <w:rFonts w:eastAsia="Times New Roman"/>
          <w:color w:val="000000" w:themeColor="text1"/>
          <w:lang w:bidi="ne-NP"/>
        </w:rPr>
        <w:t xml:space="preserve"> globally, but research in Nepal are very limited (Nepal et al., 2020), especially among college students</w:t>
      </w:r>
      <w:r w:rsidR="00DD70D5" w:rsidRPr="004A782C">
        <w:rPr>
          <w:rFonts w:eastAsia="Times New Roman"/>
          <w:color w:val="000000" w:themeColor="text1"/>
          <w:lang w:bidi="ne-NP"/>
        </w:rPr>
        <w:t xml:space="preserve"> in Chitwan, culturally diverse district in Nepal</w:t>
      </w:r>
      <w:r w:rsidRPr="004A782C">
        <w:rPr>
          <w:rFonts w:eastAsia="Times New Roman"/>
          <w:color w:val="000000" w:themeColor="text1"/>
          <w:lang w:bidi="ne-NP"/>
        </w:rPr>
        <w:t>. Therefore, our aim of the study is to investigate the level of attitudes towards mental healt</w:t>
      </w:r>
      <w:r w:rsidR="00ED70C5" w:rsidRPr="004A782C">
        <w:rPr>
          <w:rFonts w:eastAsia="Times New Roman"/>
          <w:color w:val="000000" w:themeColor="text1"/>
          <w:lang w:bidi="ne-NP"/>
        </w:rPr>
        <w:t>h problems in college students across different demographics. This study will provide crucial insights into college students' attitudes towards mental health in Nepal, potentially guiding targeted interventions, improving mental health education, and informing policies to address stigma and enhance support systems for students.</w:t>
      </w:r>
    </w:p>
    <w:p w14:paraId="5C4654ED" w14:textId="0D90C0C4" w:rsidR="006D05AA" w:rsidRPr="004A782C" w:rsidRDefault="006D05AA" w:rsidP="00B27EBA">
      <w:pPr>
        <w:spacing w:after="0"/>
        <w:ind w:firstLine="700"/>
        <w:contextualSpacing/>
        <w:jc w:val="both"/>
        <w:rPr>
          <w:rFonts w:eastAsia="Times New Roman"/>
          <w:color w:val="000000" w:themeColor="text1"/>
          <w:lang w:bidi="ne-NP"/>
        </w:rPr>
      </w:pPr>
      <w:r w:rsidRPr="004A782C">
        <w:rPr>
          <w:rFonts w:eastAsia="Times New Roman"/>
          <w:color w:val="000000" w:themeColor="text1"/>
          <w:lang w:bidi="ne-NP"/>
        </w:rPr>
        <w:t>This study provides important insights into college students' attitudes towards mental health problems (ATMHP) in Nepal. By analyzing responses across diverse demographics using a validated tool, it highlights a generally unfavorable attitude consistent across groups. These findings emphasize the need for inclusive mental health education and stigma-reduction efforts in academic institutions, regardless of student background.</w:t>
      </w:r>
    </w:p>
    <w:p w14:paraId="40A276A4" w14:textId="00398094" w:rsidR="00B4284B" w:rsidRPr="004A782C" w:rsidRDefault="006D05AA" w:rsidP="00B27EBA">
      <w:pPr>
        <w:spacing w:after="0"/>
        <w:ind w:firstLine="700"/>
        <w:contextualSpacing/>
        <w:jc w:val="both"/>
        <w:rPr>
          <w:rFonts w:eastAsia="Times New Roman"/>
          <w:color w:val="000000" w:themeColor="text1"/>
          <w:lang w:bidi="ne-NP"/>
        </w:rPr>
      </w:pPr>
      <w:r w:rsidRPr="004A782C">
        <w:rPr>
          <w:rFonts w:eastAsia="Times New Roman"/>
          <w:color w:val="000000" w:themeColor="text1"/>
          <w:lang w:bidi="ne-NP"/>
        </w:rPr>
        <w:t>The use of opportunity sampling limits generalizability beyond Chitwan. Self-reported data may be affected by social desirability bias. The cross-sectional design restricts causal interpretations. Some subgroups had small sample sizes, and cultural adaptation of the ATMHP scale may be needed for deeper contextual accuracy.</w:t>
      </w:r>
    </w:p>
    <w:p w14:paraId="5C6179FA" w14:textId="77777777" w:rsidR="00B27EBA" w:rsidRDefault="00B27EBA" w:rsidP="00B27EBA">
      <w:pPr>
        <w:pStyle w:val="Heading1"/>
        <w:spacing w:before="0"/>
        <w:contextualSpacing/>
        <w:jc w:val="both"/>
        <w:rPr>
          <w:rFonts w:cs="Times New Roman"/>
          <w:sz w:val="28"/>
          <w:szCs w:val="28"/>
        </w:rPr>
      </w:pPr>
      <w:bookmarkStart w:id="1" w:name="_Toc128114179"/>
    </w:p>
    <w:p w14:paraId="7D8EE1CA" w14:textId="316A76EF" w:rsidR="00031796" w:rsidRPr="00EF4CA3" w:rsidRDefault="00EF4CA3" w:rsidP="00B27EBA">
      <w:pPr>
        <w:pStyle w:val="Heading1"/>
        <w:spacing w:before="0"/>
        <w:contextualSpacing/>
        <w:jc w:val="both"/>
        <w:rPr>
          <w:rFonts w:cs="Times New Roman"/>
          <w:sz w:val="28"/>
          <w:szCs w:val="28"/>
        </w:rPr>
      </w:pPr>
      <w:r w:rsidRPr="00EF4CA3">
        <w:rPr>
          <w:rFonts w:cs="Times New Roman"/>
          <w:sz w:val="28"/>
          <w:szCs w:val="28"/>
        </w:rPr>
        <w:t xml:space="preserve">2. </w:t>
      </w:r>
      <w:r w:rsidR="00031796" w:rsidRPr="00EF4CA3">
        <w:rPr>
          <w:rFonts w:cs="Times New Roman"/>
          <w:sz w:val="28"/>
          <w:szCs w:val="28"/>
        </w:rPr>
        <w:t>Methods</w:t>
      </w:r>
    </w:p>
    <w:p w14:paraId="6D78F432" w14:textId="23C1FBD8" w:rsidR="005D4319" w:rsidRPr="004A782C" w:rsidRDefault="00EF4CA3" w:rsidP="00B27EBA">
      <w:pPr>
        <w:spacing w:after="0"/>
        <w:contextualSpacing/>
        <w:jc w:val="both"/>
        <w:rPr>
          <w:b/>
          <w:bCs/>
        </w:rPr>
      </w:pPr>
      <w:r>
        <w:rPr>
          <w:b/>
          <w:bCs/>
        </w:rPr>
        <w:t xml:space="preserve">2.1 </w:t>
      </w:r>
      <w:r w:rsidR="005D4319" w:rsidRPr="004A782C">
        <w:rPr>
          <w:b/>
          <w:bCs/>
        </w:rPr>
        <w:t>Participants</w:t>
      </w:r>
    </w:p>
    <w:p w14:paraId="2CA792D2" w14:textId="63E7400B" w:rsidR="009D266B" w:rsidRDefault="009D266B" w:rsidP="00B27EBA">
      <w:pPr>
        <w:spacing w:after="0"/>
        <w:ind w:firstLine="567"/>
        <w:contextualSpacing/>
        <w:jc w:val="both"/>
        <w:rPr>
          <w:b/>
          <w:bCs/>
          <w:color w:val="000000" w:themeColor="text1"/>
        </w:rPr>
      </w:pPr>
      <w:r w:rsidRPr="004A782C">
        <w:t>The study involved 348 participants aged 18 to 24 (</w:t>
      </w:r>
      <w:r w:rsidRPr="004A782C">
        <w:rPr>
          <w:i/>
          <w:iCs/>
        </w:rPr>
        <w:t>M</w:t>
      </w:r>
      <w:r w:rsidRPr="004A782C">
        <w:t xml:space="preserve"> = 20.61, </w:t>
      </w:r>
      <w:r w:rsidRPr="004A782C">
        <w:rPr>
          <w:i/>
          <w:iCs/>
        </w:rPr>
        <w:t>SD</w:t>
      </w:r>
      <w:r w:rsidRPr="004A782C">
        <w:t xml:space="preserve"> = 1.67), including 210 females and 136 males from diverse ethnic backgrounds. Participants comprised 53 high school students and 295 bachelor's degree students, with 200 in their first two years </w:t>
      </w:r>
      <w:r w:rsidR="006D05AA" w:rsidRPr="004A782C">
        <w:t xml:space="preserve">and 85 in their final two years. </w:t>
      </w:r>
      <w:r w:rsidRPr="004A782C">
        <w:t>Data were collected from government (</w:t>
      </w:r>
      <w:r w:rsidRPr="004A782C">
        <w:rPr>
          <w:i/>
          <w:iCs/>
        </w:rPr>
        <w:t>N</w:t>
      </w:r>
      <w:r w:rsidRPr="004A782C">
        <w:t xml:space="preserve"> = 114), community (</w:t>
      </w:r>
      <w:r w:rsidRPr="004A782C">
        <w:rPr>
          <w:i/>
          <w:iCs/>
        </w:rPr>
        <w:t>N</w:t>
      </w:r>
      <w:r w:rsidRPr="004A782C">
        <w:t xml:space="preserve"> = 171), and private colleges (</w:t>
      </w:r>
      <w:r w:rsidRPr="004A782C">
        <w:rPr>
          <w:i/>
          <w:iCs/>
        </w:rPr>
        <w:t>N</w:t>
      </w:r>
      <w:r w:rsidRPr="004A782C">
        <w:t xml:space="preserve"> = 63). Familiarity with individuals with mental health problems varied, with 86 participants reporting acquaintance and 214 not. Detailed demographic information is provided </w:t>
      </w:r>
      <w:r w:rsidRPr="004A782C">
        <w:rPr>
          <w:color w:val="000000" w:themeColor="text1"/>
        </w:rPr>
        <w:t>in Table 1.</w:t>
      </w:r>
      <w:r w:rsidR="0055053E" w:rsidRPr="004A782C">
        <w:rPr>
          <w:b/>
          <w:bCs/>
          <w:color w:val="000000" w:themeColor="text1"/>
        </w:rPr>
        <w:t xml:space="preserve"> </w:t>
      </w:r>
    </w:p>
    <w:p w14:paraId="3990D723" w14:textId="77777777" w:rsidR="00EF4CA3" w:rsidRPr="004A782C" w:rsidRDefault="00EF4CA3" w:rsidP="00B27EBA">
      <w:pPr>
        <w:spacing w:after="0"/>
        <w:ind w:firstLine="567"/>
        <w:contextualSpacing/>
        <w:jc w:val="both"/>
        <w:rPr>
          <w:b/>
          <w:bCs/>
        </w:rPr>
      </w:pPr>
    </w:p>
    <w:p w14:paraId="29885444" w14:textId="63BB4E20" w:rsidR="002C3B74" w:rsidRPr="004A782C" w:rsidRDefault="002C3B74" w:rsidP="00B27EBA">
      <w:pPr>
        <w:pStyle w:val="Caption"/>
        <w:keepNext/>
        <w:spacing w:after="0" w:line="276" w:lineRule="auto"/>
        <w:contextualSpacing/>
        <w:jc w:val="both"/>
        <w:rPr>
          <w:b/>
          <w:bCs/>
          <w:i w:val="0"/>
          <w:iCs w:val="0"/>
          <w:color w:val="000000" w:themeColor="text1"/>
          <w:sz w:val="24"/>
          <w:szCs w:val="24"/>
        </w:rPr>
      </w:pPr>
      <w:r w:rsidRPr="004A782C">
        <w:rPr>
          <w:b/>
          <w:bCs/>
          <w:i w:val="0"/>
          <w:iCs w:val="0"/>
          <w:color w:val="000000" w:themeColor="text1"/>
          <w:sz w:val="24"/>
          <w:szCs w:val="24"/>
        </w:rPr>
        <w:t xml:space="preserve">Table </w:t>
      </w:r>
      <w:r w:rsidRPr="004A782C">
        <w:rPr>
          <w:b/>
          <w:bCs/>
          <w:i w:val="0"/>
          <w:iCs w:val="0"/>
          <w:color w:val="000000" w:themeColor="text1"/>
          <w:sz w:val="24"/>
          <w:szCs w:val="24"/>
        </w:rPr>
        <w:fldChar w:fldCharType="begin"/>
      </w:r>
      <w:r w:rsidRPr="004A782C">
        <w:rPr>
          <w:b/>
          <w:bCs/>
          <w:i w:val="0"/>
          <w:iCs w:val="0"/>
          <w:color w:val="000000" w:themeColor="text1"/>
          <w:sz w:val="24"/>
          <w:szCs w:val="24"/>
        </w:rPr>
        <w:instrText xml:space="preserve"> SEQ Table \* ARABIC </w:instrText>
      </w:r>
      <w:r w:rsidRPr="004A782C">
        <w:rPr>
          <w:b/>
          <w:bCs/>
          <w:i w:val="0"/>
          <w:iCs w:val="0"/>
          <w:color w:val="000000" w:themeColor="text1"/>
          <w:sz w:val="24"/>
          <w:szCs w:val="24"/>
        </w:rPr>
        <w:fldChar w:fldCharType="separate"/>
      </w:r>
      <w:r w:rsidR="00BF4F7A">
        <w:rPr>
          <w:b/>
          <w:bCs/>
          <w:i w:val="0"/>
          <w:iCs w:val="0"/>
          <w:noProof/>
          <w:color w:val="000000" w:themeColor="text1"/>
          <w:sz w:val="24"/>
          <w:szCs w:val="24"/>
        </w:rPr>
        <w:t>1</w:t>
      </w:r>
      <w:r w:rsidRPr="004A782C">
        <w:rPr>
          <w:b/>
          <w:bCs/>
          <w:i w:val="0"/>
          <w:iCs w:val="0"/>
          <w:color w:val="000000" w:themeColor="text1"/>
          <w:sz w:val="24"/>
          <w:szCs w:val="24"/>
        </w:rPr>
        <w:fldChar w:fldCharType="end"/>
      </w:r>
      <w:r w:rsidRPr="004A782C">
        <w:rPr>
          <w:b/>
          <w:bCs/>
          <w:i w:val="0"/>
          <w:iCs w:val="0"/>
          <w:color w:val="000000" w:themeColor="text1"/>
          <w:sz w:val="24"/>
          <w:szCs w:val="24"/>
        </w:rPr>
        <w:t xml:space="preserve">: </w:t>
      </w:r>
      <w:r w:rsidRPr="004A782C">
        <w:rPr>
          <w:color w:val="000000" w:themeColor="text1"/>
          <w:sz w:val="24"/>
          <w:szCs w:val="24"/>
        </w:rPr>
        <w:t>Demographic Characteristics</w:t>
      </w:r>
    </w:p>
    <w:tbl>
      <w:tblPr>
        <w:tblW w:w="5000" w:type="pct"/>
        <w:tblLook w:val="04A0" w:firstRow="1" w:lastRow="0" w:firstColumn="1" w:lastColumn="0" w:noHBand="0" w:noVBand="1"/>
      </w:tblPr>
      <w:tblGrid>
        <w:gridCol w:w="2576"/>
        <w:gridCol w:w="4157"/>
        <w:gridCol w:w="2293"/>
      </w:tblGrid>
      <w:tr w:rsidR="002C3B74" w:rsidRPr="004A782C" w14:paraId="6DDFDAC4" w14:textId="77777777" w:rsidTr="009D6757">
        <w:trPr>
          <w:trHeight w:val="78"/>
          <w:tblHeader/>
        </w:trPr>
        <w:tc>
          <w:tcPr>
            <w:tcW w:w="3730" w:type="pct"/>
            <w:gridSpan w:val="2"/>
            <w:tcBorders>
              <w:top w:val="single" w:sz="4" w:space="0" w:color="auto"/>
              <w:bottom w:val="single" w:sz="4" w:space="0" w:color="auto"/>
            </w:tcBorders>
            <w:shd w:val="clear" w:color="auto" w:fill="auto"/>
            <w:vAlign w:val="center"/>
            <w:hideMark/>
          </w:tcPr>
          <w:p w14:paraId="6E156B2C"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Demographic profile of the participants</w:t>
            </w:r>
          </w:p>
        </w:tc>
        <w:tc>
          <w:tcPr>
            <w:tcW w:w="1270" w:type="pct"/>
            <w:tcBorders>
              <w:top w:val="single" w:sz="4" w:space="0" w:color="auto"/>
              <w:bottom w:val="single" w:sz="4" w:space="0" w:color="auto"/>
            </w:tcBorders>
            <w:shd w:val="clear" w:color="auto" w:fill="auto"/>
            <w:vAlign w:val="center"/>
            <w:hideMark/>
          </w:tcPr>
          <w:p w14:paraId="46BD7936"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Frequency (</w:t>
            </w:r>
            <w:r w:rsidRPr="004A782C">
              <w:rPr>
                <w:color w:val="000000"/>
              </w:rPr>
              <w:t>Percent</w:t>
            </w:r>
            <w:r w:rsidRPr="004A782C">
              <w:rPr>
                <w:rFonts w:eastAsia="Times New Roman"/>
                <w:color w:val="000000"/>
                <w:lang w:bidi="ne-NP"/>
              </w:rPr>
              <w:t>)</w:t>
            </w:r>
          </w:p>
        </w:tc>
      </w:tr>
      <w:tr w:rsidR="002C3B74" w:rsidRPr="004A782C" w14:paraId="3D821D96" w14:textId="77777777" w:rsidTr="009D6757">
        <w:trPr>
          <w:trHeight w:val="296"/>
        </w:trPr>
        <w:tc>
          <w:tcPr>
            <w:tcW w:w="1427" w:type="pct"/>
            <w:vMerge w:val="restart"/>
            <w:tcBorders>
              <w:top w:val="single" w:sz="4" w:space="0" w:color="auto"/>
            </w:tcBorders>
            <w:shd w:val="clear" w:color="auto" w:fill="auto"/>
            <w:vAlign w:val="center"/>
            <w:hideMark/>
          </w:tcPr>
          <w:p w14:paraId="3FD87C5A"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Gender</w:t>
            </w:r>
          </w:p>
        </w:tc>
        <w:tc>
          <w:tcPr>
            <w:tcW w:w="2303" w:type="pct"/>
            <w:tcBorders>
              <w:top w:val="single" w:sz="4" w:space="0" w:color="auto"/>
            </w:tcBorders>
            <w:vAlign w:val="center"/>
          </w:tcPr>
          <w:p w14:paraId="6F2758F1"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Female</w:t>
            </w:r>
          </w:p>
        </w:tc>
        <w:tc>
          <w:tcPr>
            <w:tcW w:w="1270" w:type="pct"/>
            <w:tcBorders>
              <w:top w:val="single" w:sz="4" w:space="0" w:color="auto"/>
            </w:tcBorders>
            <w:shd w:val="clear" w:color="auto" w:fill="auto"/>
            <w:vAlign w:val="center"/>
            <w:hideMark/>
          </w:tcPr>
          <w:p w14:paraId="538C03FF"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210 (60.69%)</w:t>
            </w:r>
          </w:p>
        </w:tc>
      </w:tr>
      <w:tr w:rsidR="002C3B74" w:rsidRPr="004A782C" w14:paraId="66C99297" w14:textId="77777777" w:rsidTr="009D6757">
        <w:trPr>
          <w:trHeight w:val="341"/>
        </w:trPr>
        <w:tc>
          <w:tcPr>
            <w:tcW w:w="1427" w:type="pct"/>
            <w:vMerge/>
            <w:shd w:val="clear" w:color="auto" w:fill="auto"/>
            <w:vAlign w:val="center"/>
            <w:hideMark/>
          </w:tcPr>
          <w:p w14:paraId="43B5D610"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31E20419"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Male</w:t>
            </w:r>
          </w:p>
        </w:tc>
        <w:tc>
          <w:tcPr>
            <w:tcW w:w="1270" w:type="pct"/>
            <w:shd w:val="clear" w:color="auto" w:fill="auto"/>
            <w:vAlign w:val="center"/>
            <w:hideMark/>
          </w:tcPr>
          <w:p w14:paraId="46C3F638"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136 (39.31%)</w:t>
            </w:r>
          </w:p>
        </w:tc>
      </w:tr>
      <w:tr w:rsidR="002C3B74" w:rsidRPr="004A782C" w14:paraId="5DB80AD6" w14:textId="77777777" w:rsidTr="009D6757">
        <w:trPr>
          <w:trHeight w:val="200"/>
        </w:trPr>
        <w:tc>
          <w:tcPr>
            <w:tcW w:w="1427" w:type="pct"/>
            <w:vMerge w:val="restart"/>
            <w:shd w:val="clear" w:color="auto" w:fill="auto"/>
            <w:vAlign w:val="center"/>
          </w:tcPr>
          <w:p w14:paraId="5E09994C"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Caste/Ethnicity</w:t>
            </w:r>
          </w:p>
        </w:tc>
        <w:tc>
          <w:tcPr>
            <w:tcW w:w="2303" w:type="pct"/>
            <w:vAlign w:val="center"/>
          </w:tcPr>
          <w:p w14:paraId="314AEEC6"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Brahmin/</w:t>
            </w:r>
            <w:proofErr w:type="spellStart"/>
            <w:r w:rsidRPr="004A782C">
              <w:rPr>
                <w:rFonts w:eastAsia="Times New Roman"/>
                <w:color w:val="000000"/>
                <w:lang w:bidi="ne-NP"/>
              </w:rPr>
              <w:t>Kshetri</w:t>
            </w:r>
            <w:proofErr w:type="spellEnd"/>
          </w:p>
        </w:tc>
        <w:tc>
          <w:tcPr>
            <w:tcW w:w="1270" w:type="pct"/>
            <w:shd w:val="clear" w:color="auto" w:fill="auto"/>
            <w:vAlign w:val="center"/>
            <w:hideMark/>
          </w:tcPr>
          <w:p w14:paraId="22B6E691"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245 (71.22%)</w:t>
            </w:r>
          </w:p>
        </w:tc>
      </w:tr>
      <w:tr w:rsidR="002C3B74" w:rsidRPr="004A782C" w14:paraId="7D849FBA" w14:textId="77777777" w:rsidTr="009D6757">
        <w:trPr>
          <w:trHeight w:val="78"/>
        </w:trPr>
        <w:tc>
          <w:tcPr>
            <w:tcW w:w="1427" w:type="pct"/>
            <w:vMerge/>
            <w:shd w:val="clear" w:color="auto" w:fill="auto"/>
            <w:vAlign w:val="center"/>
            <w:hideMark/>
          </w:tcPr>
          <w:p w14:paraId="78849C7D"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12746511" w14:textId="77777777" w:rsidR="002C3B74" w:rsidRPr="004A782C" w:rsidRDefault="002C3B74" w:rsidP="00B27EBA">
            <w:pPr>
              <w:spacing w:after="0"/>
              <w:contextualSpacing/>
              <w:jc w:val="both"/>
              <w:rPr>
                <w:rFonts w:eastAsia="Times New Roman"/>
                <w:color w:val="000000"/>
                <w:lang w:bidi="ne-NP"/>
              </w:rPr>
            </w:pPr>
            <w:proofErr w:type="spellStart"/>
            <w:r w:rsidRPr="004A782C">
              <w:rPr>
                <w:rFonts w:eastAsia="Times New Roman"/>
                <w:color w:val="000000"/>
                <w:lang w:bidi="ne-NP"/>
              </w:rPr>
              <w:t>Janajaati</w:t>
            </w:r>
            <w:proofErr w:type="spellEnd"/>
          </w:p>
        </w:tc>
        <w:tc>
          <w:tcPr>
            <w:tcW w:w="1270" w:type="pct"/>
            <w:shd w:val="clear" w:color="auto" w:fill="auto"/>
            <w:vAlign w:val="center"/>
            <w:hideMark/>
          </w:tcPr>
          <w:p w14:paraId="1656082F"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37 (10.76%)</w:t>
            </w:r>
          </w:p>
        </w:tc>
      </w:tr>
      <w:tr w:rsidR="002C3B74" w:rsidRPr="004A782C" w14:paraId="5BDCDE1F" w14:textId="77777777" w:rsidTr="009D6757">
        <w:trPr>
          <w:trHeight w:val="281"/>
        </w:trPr>
        <w:tc>
          <w:tcPr>
            <w:tcW w:w="1427" w:type="pct"/>
            <w:vMerge/>
            <w:shd w:val="clear" w:color="auto" w:fill="auto"/>
            <w:vAlign w:val="center"/>
            <w:hideMark/>
          </w:tcPr>
          <w:p w14:paraId="63F0ACA9"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231CC69C" w14:textId="77777777" w:rsidR="002C3B74" w:rsidRPr="004A782C" w:rsidRDefault="002C3B74" w:rsidP="00B27EBA">
            <w:pPr>
              <w:spacing w:after="0"/>
              <w:contextualSpacing/>
              <w:jc w:val="both"/>
              <w:rPr>
                <w:rFonts w:eastAsia="Times New Roman"/>
                <w:color w:val="000000"/>
                <w:lang w:bidi="ne-NP"/>
              </w:rPr>
            </w:pPr>
            <w:proofErr w:type="spellStart"/>
            <w:r w:rsidRPr="004A782C">
              <w:rPr>
                <w:rFonts w:eastAsia="Times New Roman"/>
                <w:color w:val="000000"/>
                <w:lang w:bidi="ne-NP"/>
              </w:rPr>
              <w:t>Newar</w:t>
            </w:r>
            <w:proofErr w:type="spellEnd"/>
          </w:p>
        </w:tc>
        <w:tc>
          <w:tcPr>
            <w:tcW w:w="1270" w:type="pct"/>
            <w:shd w:val="clear" w:color="auto" w:fill="auto"/>
            <w:vAlign w:val="center"/>
            <w:hideMark/>
          </w:tcPr>
          <w:p w14:paraId="21FC01C6"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31 (9.01%)</w:t>
            </w:r>
          </w:p>
        </w:tc>
      </w:tr>
      <w:tr w:rsidR="002C3B74" w:rsidRPr="004A782C" w14:paraId="17128BA8" w14:textId="77777777" w:rsidTr="009D6757">
        <w:trPr>
          <w:trHeight w:val="281"/>
        </w:trPr>
        <w:tc>
          <w:tcPr>
            <w:tcW w:w="1427" w:type="pct"/>
            <w:vMerge/>
            <w:shd w:val="clear" w:color="auto" w:fill="auto"/>
            <w:vAlign w:val="center"/>
            <w:hideMark/>
          </w:tcPr>
          <w:p w14:paraId="43423942"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5E9B6554"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1270" w:type="pct"/>
            <w:shd w:val="clear" w:color="auto" w:fill="auto"/>
            <w:vAlign w:val="center"/>
            <w:hideMark/>
          </w:tcPr>
          <w:p w14:paraId="0A8B24E1"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31 (9.01%)</w:t>
            </w:r>
          </w:p>
        </w:tc>
      </w:tr>
      <w:tr w:rsidR="002C3B74" w:rsidRPr="004A782C" w14:paraId="5E48F2DA" w14:textId="77777777" w:rsidTr="009D6757">
        <w:trPr>
          <w:trHeight w:val="281"/>
        </w:trPr>
        <w:tc>
          <w:tcPr>
            <w:tcW w:w="1427" w:type="pct"/>
            <w:vMerge w:val="restart"/>
            <w:shd w:val="clear" w:color="auto" w:fill="auto"/>
            <w:vAlign w:val="center"/>
          </w:tcPr>
          <w:p w14:paraId="3D845D2F"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Religion</w:t>
            </w:r>
          </w:p>
        </w:tc>
        <w:tc>
          <w:tcPr>
            <w:tcW w:w="2303" w:type="pct"/>
            <w:vAlign w:val="center"/>
          </w:tcPr>
          <w:p w14:paraId="19F7B3E9"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Hindu</w:t>
            </w:r>
          </w:p>
        </w:tc>
        <w:tc>
          <w:tcPr>
            <w:tcW w:w="1270" w:type="pct"/>
            <w:shd w:val="clear" w:color="auto" w:fill="auto"/>
            <w:vAlign w:val="center"/>
          </w:tcPr>
          <w:p w14:paraId="4EBDB155"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314 (90.49%)</w:t>
            </w:r>
          </w:p>
        </w:tc>
      </w:tr>
      <w:tr w:rsidR="002C3B74" w:rsidRPr="004A782C" w14:paraId="3B5F3074" w14:textId="77777777" w:rsidTr="009D6757">
        <w:trPr>
          <w:trHeight w:val="281"/>
        </w:trPr>
        <w:tc>
          <w:tcPr>
            <w:tcW w:w="1427" w:type="pct"/>
            <w:vMerge/>
            <w:shd w:val="clear" w:color="auto" w:fill="auto"/>
            <w:vAlign w:val="center"/>
          </w:tcPr>
          <w:p w14:paraId="2F998165"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2F05BE42"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1270" w:type="pct"/>
            <w:shd w:val="clear" w:color="auto" w:fill="auto"/>
            <w:vAlign w:val="center"/>
          </w:tcPr>
          <w:p w14:paraId="0A60B728"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33 (9.51)</w:t>
            </w:r>
          </w:p>
        </w:tc>
      </w:tr>
      <w:tr w:rsidR="002C3B74" w:rsidRPr="004A782C" w14:paraId="48A60FCA" w14:textId="77777777" w:rsidTr="009D6757">
        <w:trPr>
          <w:trHeight w:val="271"/>
        </w:trPr>
        <w:tc>
          <w:tcPr>
            <w:tcW w:w="1427" w:type="pct"/>
            <w:vMerge w:val="restart"/>
            <w:shd w:val="clear" w:color="auto" w:fill="auto"/>
            <w:vAlign w:val="center"/>
          </w:tcPr>
          <w:p w14:paraId="42653C85"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Academic Level</w:t>
            </w:r>
          </w:p>
        </w:tc>
        <w:tc>
          <w:tcPr>
            <w:tcW w:w="2303" w:type="pct"/>
            <w:vAlign w:val="center"/>
          </w:tcPr>
          <w:p w14:paraId="40CFA4F1"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Bachelor's Degree</w:t>
            </w:r>
          </w:p>
        </w:tc>
        <w:tc>
          <w:tcPr>
            <w:tcW w:w="1270" w:type="pct"/>
            <w:shd w:val="clear" w:color="auto" w:fill="auto"/>
            <w:vAlign w:val="center"/>
            <w:hideMark/>
          </w:tcPr>
          <w:p w14:paraId="78F7773B"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295 (84.77%)</w:t>
            </w:r>
          </w:p>
        </w:tc>
      </w:tr>
      <w:tr w:rsidR="002C3B74" w:rsidRPr="004A782C" w14:paraId="36B572F4" w14:textId="77777777" w:rsidTr="009D6757">
        <w:trPr>
          <w:trHeight w:val="78"/>
        </w:trPr>
        <w:tc>
          <w:tcPr>
            <w:tcW w:w="1427" w:type="pct"/>
            <w:vMerge/>
            <w:shd w:val="clear" w:color="auto" w:fill="auto"/>
            <w:vAlign w:val="center"/>
          </w:tcPr>
          <w:p w14:paraId="25B88DE1"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3427ADE1"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High School Degree</w:t>
            </w:r>
          </w:p>
        </w:tc>
        <w:tc>
          <w:tcPr>
            <w:tcW w:w="1270" w:type="pct"/>
            <w:shd w:val="clear" w:color="auto" w:fill="auto"/>
            <w:vAlign w:val="center"/>
            <w:hideMark/>
          </w:tcPr>
          <w:p w14:paraId="714672F7"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53 (15.23%)</w:t>
            </w:r>
          </w:p>
        </w:tc>
      </w:tr>
      <w:tr w:rsidR="002C3B74" w:rsidRPr="004A782C" w14:paraId="278570BD" w14:textId="77777777" w:rsidTr="009D6757">
        <w:trPr>
          <w:trHeight w:val="345"/>
        </w:trPr>
        <w:tc>
          <w:tcPr>
            <w:tcW w:w="1427" w:type="pct"/>
            <w:vMerge w:val="restart"/>
            <w:shd w:val="clear" w:color="auto" w:fill="auto"/>
            <w:vAlign w:val="center"/>
          </w:tcPr>
          <w:p w14:paraId="6A07D2FB"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Year of Study</w:t>
            </w:r>
          </w:p>
        </w:tc>
        <w:tc>
          <w:tcPr>
            <w:tcW w:w="2303" w:type="pct"/>
            <w:vAlign w:val="center"/>
          </w:tcPr>
          <w:p w14:paraId="2F1DEAA3" w14:textId="4A076908" w:rsidR="002C3B74" w:rsidRPr="004A782C" w:rsidRDefault="002C3B74" w:rsidP="00B27EBA">
            <w:pPr>
              <w:spacing w:after="0"/>
              <w:contextualSpacing/>
              <w:jc w:val="both"/>
              <w:rPr>
                <w:color w:val="000000"/>
              </w:rPr>
            </w:pPr>
            <w:r w:rsidRPr="004A782C">
              <w:rPr>
                <w:color w:val="000000"/>
              </w:rPr>
              <w:t>First Two Years</w:t>
            </w:r>
          </w:p>
        </w:tc>
        <w:tc>
          <w:tcPr>
            <w:tcW w:w="1270" w:type="pct"/>
            <w:shd w:val="clear" w:color="auto" w:fill="auto"/>
            <w:vAlign w:val="center"/>
          </w:tcPr>
          <w:p w14:paraId="29BF35F3" w14:textId="77777777" w:rsidR="002C3B74" w:rsidRPr="004A782C" w:rsidRDefault="002C3B74" w:rsidP="00B27EBA">
            <w:pPr>
              <w:spacing w:after="0"/>
              <w:contextualSpacing/>
              <w:jc w:val="both"/>
              <w:rPr>
                <w:rFonts w:eastAsia="Times New Roman"/>
                <w:color w:val="000000"/>
                <w:lang w:bidi="ne-NP"/>
              </w:rPr>
            </w:pPr>
            <w:r w:rsidRPr="004A782C">
              <w:rPr>
                <w:color w:val="000000"/>
              </w:rPr>
              <w:t>200 (70.18%)</w:t>
            </w:r>
          </w:p>
        </w:tc>
      </w:tr>
      <w:tr w:rsidR="002C3B74" w:rsidRPr="004A782C" w14:paraId="14C039D3" w14:textId="77777777" w:rsidTr="009D6757">
        <w:trPr>
          <w:trHeight w:val="538"/>
        </w:trPr>
        <w:tc>
          <w:tcPr>
            <w:tcW w:w="1427" w:type="pct"/>
            <w:vMerge/>
            <w:shd w:val="clear" w:color="auto" w:fill="auto"/>
            <w:vAlign w:val="center"/>
          </w:tcPr>
          <w:p w14:paraId="4542C4BF"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2D82B52B" w14:textId="77777777" w:rsidR="002C3B74" w:rsidRPr="004A782C" w:rsidRDefault="002C3B74" w:rsidP="00B27EBA">
            <w:pPr>
              <w:spacing w:after="0"/>
              <w:contextualSpacing/>
              <w:jc w:val="both"/>
              <w:rPr>
                <w:rFonts w:eastAsia="Times New Roman"/>
                <w:color w:val="000000"/>
                <w:lang w:bidi="ne-NP"/>
              </w:rPr>
            </w:pPr>
            <w:r w:rsidRPr="004A782C">
              <w:rPr>
                <w:color w:val="000000"/>
              </w:rPr>
              <w:t>Last Two Years</w:t>
            </w:r>
          </w:p>
        </w:tc>
        <w:tc>
          <w:tcPr>
            <w:tcW w:w="1270" w:type="pct"/>
            <w:shd w:val="clear" w:color="auto" w:fill="auto"/>
            <w:vAlign w:val="center"/>
          </w:tcPr>
          <w:p w14:paraId="0A6D0E0A" w14:textId="77777777" w:rsidR="002C3B74" w:rsidRPr="004A782C" w:rsidRDefault="002C3B74" w:rsidP="00B27EBA">
            <w:pPr>
              <w:spacing w:after="0"/>
              <w:contextualSpacing/>
              <w:jc w:val="both"/>
              <w:rPr>
                <w:rFonts w:eastAsia="Times New Roman"/>
                <w:color w:val="000000"/>
                <w:lang w:bidi="ne-NP"/>
              </w:rPr>
            </w:pPr>
            <w:r w:rsidRPr="004A782C">
              <w:rPr>
                <w:color w:val="000000"/>
              </w:rPr>
              <w:t>85 (29.83%)</w:t>
            </w:r>
          </w:p>
        </w:tc>
      </w:tr>
      <w:tr w:rsidR="002C3B74" w:rsidRPr="004A782C" w14:paraId="3117CA72" w14:textId="77777777" w:rsidTr="009D6757">
        <w:trPr>
          <w:trHeight w:val="58"/>
        </w:trPr>
        <w:tc>
          <w:tcPr>
            <w:tcW w:w="1427" w:type="pct"/>
            <w:vMerge w:val="restart"/>
            <w:shd w:val="clear" w:color="auto" w:fill="auto"/>
            <w:vAlign w:val="center"/>
          </w:tcPr>
          <w:p w14:paraId="0833C78E"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Types of Academic Institution</w:t>
            </w:r>
          </w:p>
        </w:tc>
        <w:tc>
          <w:tcPr>
            <w:tcW w:w="2303" w:type="pct"/>
            <w:vAlign w:val="center"/>
          </w:tcPr>
          <w:p w14:paraId="457B5473"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Government</w:t>
            </w:r>
          </w:p>
        </w:tc>
        <w:tc>
          <w:tcPr>
            <w:tcW w:w="1270" w:type="pct"/>
            <w:shd w:val="clear" w:color="auto" w:fill="auto"/>
            <w:vAlign w:val="center"/>
            <w:hideMark/>
          </w:tcPr>
          <w:p w14:paraId="27638CA8"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114 (32.76%)</w:t>
            </w:r>
          </w:p>
        </w:tc>
      </w:tr>
      <w:tr w:rsidR="002C3B74" w:rsidRPr="004A782C" w14:paraId="13ACDD56" w14:textId="77777777" w:rsidTr="009D6757">
        <w:trPr>
          <w:trHeight w:val="78"/>
        </w:trPr>
        <w:tc>
          <w:tcPr>
            <w:tcW w:w="1427" w:type="pct"/>
            <w:vMerge/>
            <w:shd w:val="clear" w:color="auto" w:fill="auto"/>
            <w:vAlign w:val="center"/>
          </w:tcPr>
          <w:p w14:paraId="78BE40D7"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35CA789C"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Private</w:t>
            </w:r>
          </w:p>
        </w:tc>
        <w:tc>
          <w:tcPr>
            <w:tcW w:w="1270" w:type="pct"/>
            <w:shd w:val="clear" w:color="auto" w:fill="auto"/>
            <w:vAlign w:val="center"/>
            <w:hideMark/>
          </w:tcPr>
          <w:p w14:paraId="3381BFEE"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63 (18.10%)</w:t>
            </w:r>
          </w:p>
        </w:tc>
      </w:tr>
      <w:tr w:rsidR="002C3B74" w:rsidRPr="004A782C" w14:paraId="181D3B7D" w14:textId="77777777" w:rsidTr="009D6757">
        <w:trPr>
          <w:trHeight w:val="78"/>
        </w:trPr>
        <w:tc>
          <w:tcPr>
            <w:tcW w:w="1427" w:type="pct"/>
            <w:vMerge/>
            <w:shd w:val="clear" w:color="auto" w:fill="auto"/>
            <w:vAlign w:val="center"/>
          </w:tcPr>
          <w:p w14:paraId="69B3F7D8" w14:textId="77777777" w:rsidR="002C3B74" w:rsidRPr="004A782C" w:rsidRDefault="002C3B74" w:rsidP="00B27EBA">
            <w:pPr>
              <w:spacing w:after="0"/>
              <w:contextualSpacing/>
              <w:jc w:val="both"/>
              <w:rPr>
                <w:rFonts w:eastAsia="Times New Roman"/>
                <w:color w:val="000000"/>
                <w:lang w:bidi="ne-NP"/>
              </w:rPr>
            </w:pPr>
          </w:p>
        </w:tc>
        <w:tc>
          <w:tcPr>
            <w:tcW w:w="2303" w:type="pct"/>
            <w:vAlign w:val="center"/>
          </w:tcPr>
          <w:p w14:paraId="3837FDE0"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Public</w:t>
            </w:r>
          </w:p>
        </w:tc>
        <w:tc>
          <w:tcPr>
            <w:tcW w:w="1270" w:type="pct"/>
            <w:shd w:val="clear" w:color="auto" w:fill="auto"/>
            <w:vAlign w:val="center"/>
            <w:hideMark/>
          </w:tcPr>
          <w:p w14:paraId="57133D23"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171 (49.14%)</w:t>
            </w:r>
          </w:p>
        </w:tc>
      </w:tr>
      <w:tr w:rsidR="002C3B74" w:rsidRPr="004A782C" w14:paraId="18492038" w14:textId="77777777" w:rsidTr="009D6757">
        <w:trPr>
          <w:trHeight w:val="281"/>
        </w:trPr>
        <w:tc>
          <w:tcPr>
            <w:tcW w:w="1427" w:type="pct"/>
            <w:vMerge w:val="restart"/>
            <w:shd w:val="clear" w:color="auto" w:fill="auto"/>
            <w:vAlign w:val="center"/>
          </w:tcPr>
          <w:p w14:paraId="1461F482"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Who knows/does not know PMHP</w:t>
            </w:r>
          </w:p>
        </w:tc>
        <w:tc>
          <w:tcPr>
            <w:tcW w:w="2303" w:type="pct"/>
            <w:vAlign w:val="center"/>
          </w:tcPr>
          <w:p w14:paraId="0CEDCE96" w14:textId="42EFB40C" w:rsidR="002C3B74" w:rsidRPr="004A782C" w:rsidRDefault="00DE356E" w:rsidP="00B27EBA">
            <w:pPr>
              <w:spacing w:after="0"/>
              <w:contextualSpacing/>
              <w:jc w:val="both"/>
              <w:rPr>
                <w:rFonts w:eastAsia="Times New Roman"/>
                <w:color w:val="000000"/>
                <w:lang w:bidi="ne-NP"/>
              </w:rPr>
            </w:pPr>
            <w:r w:rsidRPr="004A782C">
              <w:rPr>
                <w:lang w:bidi="ne-NP"/>
              </w:rPr>
              <w:t>Participants who do not knows PMHP</w:t>
            </w:r>
          </w:p>
        </w:tc>
        <w:tc>
          <w:tcPr>
            <w:tcW w:w="1270" w:type="pct"/>
            <w:shd w:val="clear" w:color="auto" w:fill="auto"/>
            <w:vAlign w:val="center"/>
            <w:hideMark/>
          </w:tcPr>
          <w:p w14:paraId="1A1AFC2E"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214 (71.33%)</w:t>
            </w:r>
          </w:p>
        </w:tc>
      </w:tr>
      <w:tr w:rsidR="002C3B74" w:rsidRPr="004A782C" w14:paraId="204D9355" w14:textId="77777777" w:rsidTr="00B27EBA">
        <w:trPr>
          <w:trHeight w:val="153"/>
        </w:trPr>
        <w:tc>
          <w:tcPr>
            <w:tcW w:w="1427" w:type="pct"/>
            <w:vMerge/>
            <w:tcBorders>
              <w:bottom w:val="single" w:sz="4" w:space="0" w:color="auto"/>
            </w:tcBorders>
            <w:shd w:val="clear" w:color="auto" w:fill="auto"/>
            <w:vAlign w:val="center"/>
          </w:tcPr>
          <w:p w14:paraId="4865BDF7" w14:textId="77777777" w:rsidR="002C3B74" w:rsidRPr="004A782C" w:rsidRDefault="002C3B74" w:rsidP="00B27EBA">
            <w:pPr>
              <w:spacing w:after="0"/>
              <w:contextualSpacing/>
              <w:jc w:val="both"/>
              <w:rPr>
                <w:rFonts w:eastAsia="Times New Roman"/>
                <w:color w:val="000000"/>
                <w:lang w:bidi="ne-NP"/>
              </w:rPr>
            </w:pPr>
          </w:p>
        </w:tc>
        <w:tc>
          <w:tcPr>
            <w:tcW w:w="2303" w:type="pct"/>
            <w:tcBorders>
              <w:bottom w:val="single" w:sz="4" w:space="0" w:color="auto"/>
            </w:tcBorders>
            <w:vAlign w:val="center"/>
          </w:tcPr>
          <w:p w14:paraId="02357A5C" w14:textId="144380C4" w:rsidR="002C3B74" w:rsidRPr="004A782C" w:rsidRDefault="00DE356E" w:rsidP="00B27EBA">
            <w:pPr>
              <w:spacing w:after="0"/>
              <w:contextualSpacing/>
              <w:jc w:val="both"/>
              <w:rPr>
                <w:rFonts w:eastAsia="Times New Roman"/>
                <w:color w:val="000000"/>
                <w:lang w:bidi="ne-NP"/>
              </w:rPr>
            </w:pPr>
            <w:r w:rsidRPr="004A782C">
              <w:rPr>
                <w:lang w:bidi="ne-NP"/>
              </w:rPr>
              <w:t>Participants who knows PMHP</w:t>
            </w:r>
          </w:p>
        </w:tc>
        <w:tc>
          <w:tcPr>
            <w:tcW w:w="1270" w:type="pct"/>
            <w:tcBorders>
              <w:bottom w:val="single" w:sz="4" w:space="0" w:color="auto"/>
            </w:tcBorders>
            <w:shd w:val="clear" w:color="auto" w:fill="auto"/>
            <w:vAlign w:val="center"/>
          </w:tcPr>
          <w:p w14:paraId="58A3D5CA" w14:textId="77777777" w:rsidR="002C3B74" w:rsidRPr="004A782C" w:rsidRDefault="002C3B74" w:rsidP="00B27EBA">
            <w:pPr>
              <w:spacing w:after="0"/>
              <w:contextualSpacing/>
              <w:jc w:val="both"/>
              <w:rPr>
                <w:rFonts w:eastAsia="Times New Roman"/>
                <w:color w:val="000000"/>
                <w:lang w:bidi="ne-NP"/>
              </w:rPr>
            </w:pPr>
            <w:r w:rsidRPr="004A782C">
              <w:rPr>
                <w:rFonts w:eastAsia="Times New Roman"/>
                <w:color w:val="000000"/>
                <w:lang w:bidi="ne-NP"/>
              </w:rPr>
              <w:t>86 (28.67%)</w:t>
            </w:r>
          </w:p>
        </w:tc>
      </w:tr>
    </w:tbl>
    <w:p w14:paraId="6DAE15F6" w14:textId="59611128" w:rsidR="002C3B74" w:rsidRPr="004A782C" w:rsidRDefault="002C3B74" w:rsidP="00B27EBA">
      <w:pPr>
        <w:spacing w:after="0"/>
        <w:contextualSpacing/>
        <w:jc w:val="both"/>
        <w:rPr>
          <w:rFonts w:eastAsia="Times New Roman"/>
          <w:b/>
          <w:color w:val="000000" w:themeColor="text1"/>
          <w:lang w:bidi="ne-NP"/>
        </w:rPr>
      </w:pPr>
      <w:r w:rsidRPr="004A782C">
        <w:rPr>
          <w:i/>
          <w:iCs/>
          <w:lang w:bidi="ne-NP"/>
        </w:rPr>
        <w:t>Note</w:t>
      </w:r>
      <w:r w:rsidRPr="004A782C">
        <w:rPr>
          <w:lang w:bidi="ne-NP"/>
        </w:rPr>
        <w:t>: PMHP refers to peo</w:t>
      </w:r>
      <w:r w:rsidR="00DE356E" w:rsidRPr="004A782C">
        <w:rPr>
          <w:lang w:bidi="ne-NP"/>
        </w:rPr>
        <w:t>ple with mental health problems.</w:t>
      </w:r>
      <w:r w:rsidRPr="004A782C">
        <w:rPr>
          <w:lang w:bidi="ne-NP"/>
        </w:rPr>
        <w:t xml:space="preserve"> The year of study implies to bachelor's degree</w:t>
      </w:r>
      <w:r w:rsidR="00DE356E" w:rsidRPr="004A782C">
        <w:rPr>
          <w:lang w:bidi="ne-NP"/>
        </w:rPr>
        <w:t xml:space="preserve"> only</w:t>
      </w:r>
      <w:r w:rsidRPr="004A782C">
        <w:rPr>
          <w:lang w:bidi="ne-NP"/>
        </w:rPr>
        <w:t>.</w:t>
      </w:r>
      <w:r w:rsidR="004A782C">
        <w:rPr>
          <w:lang w:bidi="ne-NP"/>
        </w:rPr>
        <w:t xml:space="preserve"> </w:t>
      </w:r>
    </w:p>
    <w:p w14:paraId="2C50CDE5" w14:textId="77777777" w:rsidR="00EF4CA3" w:rsidRDefault="00EF4CA3" w:rsidP="00B27EBA">
      <w:pPr>
        <w:spacing w:after="0"/>
        <w:contextualSpacing/>
        <w:jc w:val="both"/>
        <w:rPr>
          <w:b/>
          <w:bCs/>
        </w:rPr>
      </w:pPr>
    </w:p>
    <w:p w14:paraId="47DDC796" w14:textId="22EDFE07" w:rsidR="005D4319" w:rsidRPr="00EF4CA3" w:rsidRDefault="00EF4CA3" w:rsidP="00B27EBA">
      <w:pPr>
        <w:spacing w:after="0"/>
        <w:contextualSpacing/>
        <w:jc w:val="both"/>
        <w:rPr>
          <w:b/>
          <w:bCs/>
          <w:sz w:val="28"/>
          <w:szCs w:val="28"/>
        </w:rPr>
      </w:pPr>
      <w:r w:rsidRPr="00EF4CA3">
        <w:rPr>
          <w:b/>
          <w:bCs/>
          <w:sz w:val="28"/>
          <w:szCs w:val="28"/>
        </w:rPr>
        <w:t xml:space="preserve">3. </w:t>
      </w:r>
      <w:r w:rsidR="005D4319" w:rsidRPr="00EF4CA3">
        <w:rPr>
          <w:b/>
          <w:bCs/>
          <w:sz w:val="28"/>
          <w:szCs w:val="28"/>
        </w:rPr>
        <w:t>Materials</w:t>
      </w:r>
    </w:p>
    <w:p w14:paraId="223E9B5D" w14:textId="106A7806" w:rsidR="005D4319" w:rsidRPr="00EF4CA3" w:rsidRDefault="00EF4CA3" w:rsidP="00B27EBA">
      <w:pPr>
        <w:spacing w:after="0"/>
        <w:contextualSpacing/>
        <w:jc w:val="both"/>
        <w:rPr>
          <w:b/>
          <w:bCs/>
          <w:color w:val="000000" w:themeColor="text1"/>
        </w:rPr>
      </w:pPr>
      <w:r w:rsidRPr="00EF4CA3">
        <w:rPr>
          <w:b/>
          <w:bCs/>
          <w:color w:val="000000" w:themeColor="text1"/>
        </w:rPr>
        <w:t xml:space="preserve">3.1 </w:t>
      </w:r>
      <w:r w:rsidR="005D4319" w:rsidRPr="00EF4CA3">
        <w:rPr>
          <w:b/>
          <w:bCs/>
          <w:color w:val="000000" w:themeColor="text1"/>
        </w:rPr>
        <w:t>Attitudes towards Mental Health Problems (ATMHP)</w:t>
      </w:r>
    </w:p>
    <w:p w14:paraId="51727DAD" w14:textId="49CE0435" w:rsidR="00F07AF5" w:rsidRPr="004A782C" w:rsidRDefault="00610A14" w:rsidP="00B27EBA">
      <w:pPr>
        <w:spacing w:after="0"/>
        <w:ind w:firstLine="567"/>
        <w:contextualSpacing/>
        <w:jc w:val="both"/>
        <w:rPr>
          <w:color w:val="000000" w:themeColor="text1"/>
        </w:rPr>
      </w:pPr>
      <w:r w:rsidRPr="004A782C">
        <w:rPr>
          <w:color w:val="000000" w:themeColor="text1"/>
        </w:rPr>
        <w:t xml:space="preserve">The instrument used in this study was the Attitudes </w:t>
      </w:r>
      <w:r w:rsidR="00AD4D1D" w:rsidRPr="004A782C">
        <w:rPr>
          <w:color w:val="000000" w:themeColor="text1"/>
        </w:rPr>
        <w:t>towards</w:t>
      </w:r>
      <w:r w:rsidRPr="004A782C">
        <w:rPr>
          <w:color w:val="000000" w:themeColor="text1"/>
        </w:rPr>
        <w:t xml:space="preserve"> Mental Health Problems (ATMHP) scale,</w:t>
      </w:r>
      <w:r w:rsidR="007C6F61" w:rsidRPr="004A782C">
        <w:rPr>
          <w:color w:val="000000" w:themeColor="text1"/>
        </w:rPr>
        <w:t xml:space="preserve"> created by </w:t>
      </w:r>
      <w:r w:rsidR="004168EA" w:rsidRPr="004A782C">
        <w:rPr>
          <w:color w:val="000000" w:themeColor="text1"/>
        </w:rPr>
        <w:fldChar w:fldCharType="begin" w:fldLock="1"/>
      </w:r>
      <w:r w:rsidR="006C65D3" w:rsidRPr="004A782C">
        <w:rPr>
          <w:color w:val="000000" w:themeColor="text1"/>
        </w:rPr>
        <w:instrText>ADDIN CSL_CITATION {"citationItems":[{"id":"ITEM-1","itemData":{"DOI":"10.1080/13694670500415124","ISBN":"1369467050041","ISSN":"13674676","abstract":"This study explored differences in shame-focused attitudes to mental health problems in Asian and non-Asian students. The 'Attitudes Towards Mental Health Problems' (ATMHP) is a self-report scale designed for this study to measure: external shame (beliefs that others will look down on self if one has mental health problems); internal shame (related to negative self-evaluations); and reflected shame (believing that one can bring shame to family/community). A second questionnaire was designed to measure concerns with confidentiality. Results suggest that Asian students have higher external shame and reflected shame, but not internal shame beliefs. Asian students were also more concerned with confidentiality when it comes to talking about personal feeling/ anxieties.","author":[{"dropping-particle":"","family":"Gilbert","given":"Paul","non-dropping-particle":"","parse-names":false,"suffix":""},{"dropping-particle":"","family":"Bhundia","given":"Rakhee","non-dropping-particle":"","parse-names":false,"suffix":""},{"dropping-particle":"","family":"Mitra","given":"Ranjana","non-dropping-particle":"","parse-names":false,"suffix":""},{"dropping-particle":"","family":"McEwan","given":"Kirsten","non-dropping-particle":"","parse-names":false,"suffix":""},{"dropping-particle":"","family":"Irons","given":"Chris","non-dropping-particle":"","parse-names":false,"suffix":""},{"dropping-particle":"","family":"Sanghera","given":"Jasvinder","non-dropping-particle":"","parse-names":false,"suffix":""}],"container-title":"Mental Health, Religion and Culture","id":"ITEM-1","issue":"2","issued":{"date-parts":[["2007"]]},"page":"127-141","title":"Cultural differences in shame-focused attitudes towards mental health problems in Asian and non-Asian student women","type":"article-journal","volume":"10"},"uris":["http://www.mendeley.com/documents/?uuid=b51736a9-f7b8-450f-a3d6-2b9bc0addb9a"]}],"mendeley":{"formattedCitation":"(Gilbert et al., 2007)","manualFormatting":"Gilbert et al. (2007)","plainTextFormattedCitation":"(Gilbert et al., 2007)","previouslyFormattedCitation":"(Gilbert et al., 2007)"},"properties":{"noteIndex":0},"schema":"https://github.com/citation-style-language/schema/raw/master/csl-citation.json"}</w:instrText>
      </w:r>
      <w:r w:rsidR="004168EA" w:rsidRPr="004A782C">
        <w:rPr>
          <w:color w:val="000000" w:themeColor="text1"/>
        </w:rPr>
        <w:fldChar w:fldCharType="separate"/>
      </w:r>
      <w:r w:rsidR="006C65D3" w:rsidRPr="004A782C">
        <w:rPr>
          <w:noProof/>
          <w:color w:val="000000" w:themeColor="text1"/>
        </w:rPr>
        <w:t>Gilbert et al.</w:t>
      </w:r>
      <w:r w:rsidR="004168EA" w:rsidRPr="004A782C">
        <w:rPr>
          <w:noProof/>
          <w:color w:val="000000" w:themeColor="text1"/>
        </w:rPr>
        <w:t xml:space="preserve"> </w:t>
      </w:r>
      <w:r w:rsidR="006C65D3" w:rsidRPr="004A782C">
        <w:rPr>
          <w:noProof/>
          <w:color w:val="000000" w:themeColor="text1"/>
        </w:rPr>
        <w:t>(</w:t>
      </w:r>
      <w:r w:rsidR="004168EA" w:rsidRPr="004A782C">
        <w:rPr>
          <w:noProof/>
          <w:color w:val="000000" w:themeColor="text1"/>
        </w:rPr>
        <w:t>2007)</w:t>
      </w:r>
      <w:r w:rsidR="004168EA" w:rsidRPr="004A782C">
        <w:rPr>
          <w:color w:val="000000" w:themeColor="text1"/>
        </w:rPr>
        <w:fldChar w:fldCharType="end"/>
      </w:r>
      <w:r w:rsidRPr="004A782C">
        <w:rPr>
          <w:color w:val="000000" w:themeColor="text1"/>
        </w:rPr>
        <w:t>. This 35-item measure utilizes a 4-point Likert scale to assess attitudes towards mental health issues across five key areas: general attitudes towards mental health problems, external shame (concerns about being judged by others or feeling shame from family/community), internal shame (negative self-evaluations and self-directed shame), reflected shame 1 (shame related to the perceived impact on one's family if mental health issues arise), and reflected shame 2 (shame about the personal impact of having mental health problems)</w:t>
      </w:r>
      <w:r w:rsidR="00564002" w:rsidRPr="004A782C">
        <w:rPr>
          <w:color w:val="000000" w:themeColor="text1"/>
        </w:rPr>
        <w:t xml:space="preserve"> (Gilbert et al., 2007)</w:t>
      </w:r>
      <w:r w:rsidR="005B6932" w:rsidRPr="004A782C">
        <w:rPr>
          <w:color w:val="000000" w:themeColor="text1"/>
        </w:rPr>
        <w:t xml:space="preserve">. The scale </w:t>
      </w:r>
      <w:r w:rsidRPr="004A782C">
        <w:rPr>
          <w:color w:val="000000" w:themeColor="text1"/>
        </w:rPr>
        <w:t>demonstrated high reliability with a Cronbach's alpha of 0.94</w:t>
      </w:r>
      <w:r w:rsidR="007C6F61" w:rsidRPr="004A782C">
        <w:rPr>
          <w:color w:val="000000" w:themeColor="text1"/>
        </w:rPr>
        <w:t xml:space="preserve"> </w:t>
      </w:r>
      <w:r w:rsidR="007C6F61" w:rsidRPr="004A782C">
        <w:rPr>
          <w:color w:val="000000" w:themeColor="text1"/>
        </w:rPr>
        <w:fldChar w:fldCharType="begin" w:fldLock="1"/>
      </w:r>
      <w:r w:rsidR="006C65D3" w:rsidRPr="004A782C">
        <w:rPr>
          <w:color w:val="000000" w:themeColor="text1"/>
        </w:rPr>
        <w:instrText>ADDIN CSL_CITATION {"citationItems":[{"id":"ITEM-1","itemData":{"DOI":"10.1080/15487768.2016.1197860","ISSN":"15487776","abstract":"Several studies about stigmatization and shame toward mental health problems have contributed to minimizing the impact of these negative attitudes on people diagnosed with mental illnesses, on their families and on their communities. The Attitudes Towards Mental Health Problems Scale (ATMHP) is a self-report scale aimed at the assessment of attitudes toward mental health that involve several factors relating to attitudes and shame (internal, external, and reflected shame) when facing mental health problems. The goal of the current study was to translate, and to adapt this scale to the Portuguese population, and to study its psychometric properties in a sample of Azorean adults with and without psychiatric problems. The scale was administered to 411 participants with ages between 19 and 81 years. Confirmatory factor analysis was carried out on the initial model proposed by the authors of the ATMHP, and results showed a poor adjustment. An alternative model comprising an additional factor was tested and presented good model fit indices. Based on the alternative model, further analysis revealed that the scale has good psychometric properties.","author":[{"dropping-particle":"","family":"Cabral Master","given":"J.M.","non-dropping-particle":"","parse-names":false,"suffix":""},{"dropping-particle":"","family":"Barreto Carvalho","given":"C. M. de O.","non-dropping-particle":"","parse-names":false,"suffix":""},{"dropping-particle":"","family":"Motta","given":"C. D.","non-dropping-particle":"","parse-names":false,"suffix":""},{"dropping-particle":"","family":"Sousa","given":"M. C.","non-dropping-particle":"","parse-names":false,"suffix":""},{"dropping-particle":"","family":"Gilbert","given":"Paul","non-dropping-particle":"","parse-names":false,"suffix":""}],"container-title":"American Journal of Psychiatric Rehabilitation","id":"ITEM-1","issue":"3","issued":{"date-parts":[["2016"]]},"page":"206-222","publisher":"Taylor &amp; Francis","title":"Attitudes towards mental health problems scale: Confirmatory factor analysis and validation in the Portuguese population","type":"article-journal","volume":"19"},"uris":["http://www.mendeley.com/documents/?uuid=34c96543-159f-4343-876a-ab853eccbfba"]}],"mendeley":{"formattedCitation":"(Cabral Master et al., 2016)","manualFormatting":"(Cabral Master et al., 2016","plainTextFormattedCitation":"(Cabral Master et al., 2016)","previouslyFormattedCitation":"(Cabral Master et al., 2016)"},"properties":{"noteIndex":0},"schema":"https://github.com/citation-style-language/schema/raw/master/csl-citation.json"}</w:instrText>
      </w:r>
      <w:r w:rsidR="007C6F61" w:rsidRPr="004A782C">
        <w:rPr>
          <w:color w:val="000000" w:themeColor="text1"/>
        </w:rPr>
        <w:fldChar w:fldCharType="separate"/>
      </w:r>
      <w:r w:rsidR="007C6F61" w:rsidRPr="004A782C">
        <w:rPr>
          <w:noProof/>
          <w:color w:val="000000" w:themeColor="text1"/>
        </w:rPr>
        <w:t>(Cabral Master et al., 2016</w:t>
      </w:r>
      <w:r w:rsidR="007C6F61" w:rsidRPr="004A782C">
        <w:rPr>
          <w:color w:val="000000" w:themeColor="text1"/>
        </w:rPr>
        <w:fldChar w:fldCharType="end"/>
      </w:r>
      <w:r w:rsidR="006C65D3" w:rsidRPr="004A782C">
        <w:rPr>
          <w:color w:val="000000" w:themeColor="text1"/>
        </w:rPr>
        <w:t>;</w:t>
      </w:r>
      <w:r w:rsidR="007C6F61" w:rsidRPr="004A782C">
        <w:rPr>
          <w:color w:val="000000" w:themeColor="text1"/>
        </w:rPr>
        <w:t xml:space="preserve"> </w:t>
      </w:r>
      <w:r w:rsidR="007C6F61" w:rsidRPr="004A782C">
        <w:rPr>
          <w:color w:val="000000" w:themeColor="text1"/>
        </w:rPr>
        <w:fldChar w:fldCharType="begin" w:fldLock="1"/>
      </w:r>
      <w:r w:rsidR="006C65D3" w:rsidRPr="004A782C">
        <w:rPr>
          <w:color w:val="000000" w:themeColor="text1"/>
        </w:rPr>
        <w:instrText>ADDIN CSL_CITATION {"citationItems":[{"id":"ITEM-1","itemData":{"DOI":"10.3390/bs14121189","ISSN":"2076328X","abstract":"(1) Background: Research on mental health literacy (MHL) and attitudes toward mental health problems (ATMHP) among non-medical college students in Nepal is limited. This study examined the relationship between MHL and ATMHP, considering demographic variables and familiarity with mental health issues; (2) Methods: We conducted a cross-sectional survey with 385 college students from Chitwan and Kathmandu, Nepal, using opportunity sampling. Descriptive and inferential statistics examined demographic differences, while Pearson’s correlation assessed relationships among latent variables; (3) Results: No relationship was found between MHL and ATMHP (r = −0.01, p = 0.92). Females had greater awareness of stereotypes (p = 0.025, g = 0.24). Hotel management students showed better self-help strategies (p = 0.036, d = 0.46). Public college students scored higher in self-help strategies than government (p = 0.036, d = −0.32) and private college students (p = 0.02, d = −0.32). Non-employed students outperformed employed ones in self-help strategies (p = 0.002, g = −0.46). Other demographic factors showed no significant relationships; (4) Conclusions: MHL and ATMHP were unrelated, indicating that increasing MHL alone may not improve attitudes. Multidimensional interventions combining education and experiential learning are needed. Certain demographic factors influenced stereotypes and self-help strategies, while others showed no significant impact.","author":[{"dropping-particle":"","family":"Poudel","given":"Dev Bandhu","non-dropping-particle":"","parse-names":false,"suffix":""},{"dropping-particle":"","family":"Sharif","given":"Loujain Saud","non-dropping-particle":"","parse-names":false,"suffix":""},{"dropping-particle":"","family":"Acharya","given":"Samjhana","non-dropping-particle":"","parse-names":false,"suffix":""},{"dropping-particle":"","family":"Mahsoon","given":"Alaa","non-dropping-particle":"","parse-names":false,"suffix":""},{"dropping-particle":"","family":"Sharif","given":"Khalid","non-dropping-particle":"","parse-names":false,"suffix":""},{"dropping-particle":"","family":"Wright","given":"Rebecca","non-dropping-particle":"","parse-names":false,"suffix":""}],"container-title":"Behavioral Sciences","id":"ITEM-1","issue":"12","issued":{"date-parts":[["2024"]]},"page":"1-18","title":"Mental health literacy and attitudes towards mental health problems among college students, Nepal","type":"article-journal","volume":"14"},"uris":["http://www.mendeley.com/documents/?uuid=3992344a-35f5-4019-94b8-8327000efb2c"]}],"mendeley":{"formattedCitation":"(Poudel et al., 2024)","manualFormatting":"Poudel et al., 2024)","plainTextFormattedCitation":"(Poudel et al., 2024)","previouslyFormattedCitation":"(Poudel et al., 2024)"},"properties":{"noteIndex":0},"schema":"https://github.com/citation-style-language/schema/raw/master/csl-citation.json"}</w:instrText>
      </w:r>
      <w:r w:rsidR="007C6F61" w:rsidRPr="004A782C">
        <w:rPr>
          <w:color w:val="000000" w:themeColor="text1"/>
        </w:rPr>
        <w:fldChar w:fldCharType="separate"/>
      </w:r>
      <w:r w:rsidR="007C6F61" w:rsidRPr="004A782C">
        <w:rPr>
          <w:noProof/>
          <w:color w:val="000000" w:themeColor="text1"/>
        </w:rPr>
        <w:t>Poudel et al., 2024)</w:t>
      </w:r>
      <w:r w:rsidR="007C6F61" w:rsidRPr="004A782C">
        <w:rPr>
          <w:color w:val="000000" w:themeColor="text1"/>
        </w:rPr>
        <w:fldChar w:fldCharType="end"/>
      </w:r>
      <w:r w:rsidR="007C6F61" w:rsidRPr="004A782C">
        <w:rPr>
          <w:color w:val="000000" w:themeColor="text1"/>
        </w:rPr>
        <w:t>.</w:t>
      </w:r>
      <w:r w:rsidR="00F07AF5" w:rsidRPr="004A782C">
        <w:rPr>
          <w:color w:val="000000" w:themeColor="text1"/>
        </w:rPr>
        <w:t xml:space="preserve"> </w:t>
      </w:r>
    </w:p>
    <w:p w14:paraId="2A78DFC5" w14:textId="77777777" w:rsidR="00EF4CA3" w:rsidRDefault="00EF4CA3" w:rsidP="00B27EBA">
      <w:pPr>
        <w:spacing w:after="0"/>
        <w:contextualSpacing/>
        <w:jc w:val="both"/>
        <w:rPr>
          <w:b/>
          <w:bCs/>
          <w:color w:val="000000" w:themeColor="text1"/>
        </w:rPr>
      </w:pPr>
    </w:p>
    <w:p w14:paraId="4BA1067B" w14:textId="32B02499" w:rsidR="00B70828" w:rsidRPr="004A782C" w:rsidRDefault="00EF4CA3" w:rsidP="00B27EBA">
      <w:pPr>
        <w:spacing w:after="0"/>
        <w:contextualSpacing/>
        <w:jc w:val="both"/>
        <w:rPr>
          <w:b/>
          <w:bCs/>
          <w:color w:val="000000" w:themeColor="text1"/>
        </w:rPr>
      </w:pPr>
      <w:r>
        <w:rPr>
          <w:b/>
          <w:bCs/>
          <w:color w:val="000000" w:themeColor="text1"/>
        </w:rPr>
        <w:t xml:space="preserve">3.2 </w:t>
      </w:r>
      <w:r w:rsidR="005D4319" w:rsidRPr="004A782C">
        <w:rPr>
          <w:b/>
          <w:bCs/>
          <w:color w:val="000000" w:themeColor="text1"/>
        </w:rPr>
        <w:t>Procedure</w:t>
      </w:r>
    </w:p>
    <w:p w14:paraId="381D8A04" w14:textId="44C0C86C" w:rsidR="00564002" w:rsidRPr="004A782C" w:rsidRDefault="00B41BDB" w:rsidP="00B27EBA">
      <w:pPr>
        <w:spacing w:after="0"/>
        <w:ind w:firstLine="720"/>
        <w:contextualSpacing/>
        <w:jc w:val="both"/>
        <w:rPr>
          <w:color w:val="000000" w:themeColor="text1"/>
        </w:rPr>
      </w:pPr>
      <w:r w:rsidRPr="004A782C">
        <w:rPr>
          <w:color w:val="000000" w:themeColor="text1"/>
        </w:rPr>
        <w:t xml:space="preserve">A cross-sectional survey design with opportunistic sampling was employed. </w:t>
      </w:r>
      <w:r w:rsidR="0058544A" w:rsidRPr="004A782C">
        <w:rPr>
          <w:color w:val="000000" w:themeColor="text1"/>
        </w:rPr>
        <w:t xml:space="preserve">Approval was taken from college authorities before the consent from all the participants and data collection. </w:t>
      </w:r>
      <w:r w:rsidR="00564002" w:rsidRPr="004A782C">
        <w:rPr>
          <w:color w:val="000000" w:themeColor="text1"/>
        </w:rPr>
        <w:t xml:space="preserve">Participants were informed about the study’s purpose, data protection, and their right to </w:t>
      </w:r>
      <w:r w:rsidR="0058544A" w:rsidRPr="004A782C">
        <w:rPr>
          <w:color w:val="000000" w:themeColor="text1"/>
        </w:rPr>
        <w:t xml:space="preserve">withdraw through consent forms </w:t>
      </w:r>
      <w:r w:rsidRPr="004A782C">
        <w:rPr>
          <w:color w:val="000000" w:themeColor="text1"/>
        </w:rPr>
        <w:t xml:space="preserve">before </w:t>
      </w:r>
      <w:r w:rsidR="0058544A" w:rsidRPr="004A782C">
        <w:rPr>
          <w:color w:val="000000" w:themeColor="text1"/>
        </w:rPr>
        <w:t xml:space="preserve">the </w:t>
      </w:r>
      <w:r w:rsidR="00564002" w:rsidRPr="004A782C">
        <w:rPr>
          <w:color w:val="000000" w:themeColor="text1"/>
        </w:rPr>
        <w:t>data collection.</w:t>
      </w:r>
      <w:r w:rsidR="004A782C">
        <w:rPr>
          <w:color w:val="000000" w:themeColor="text1"/>
        </w:rPr>
        <w:t xml:space="preserve"> </w:t>
      </w:r>
    </w:p>
    <w:p w14:paraId="5266F576" w14:textId="3E59E5A8" w:rsidR="00031796" w:rsidRPr="004A782C" w:rsidRDefault="00564002" w:rsidP="00B27EBA">
      <w:pPr>
        <w:spacing w:after="0"/>
        <w:ind w:firstLine="720"/>
        <w:contextualSpacing/>
        <w:jc w:val="both"/>
        <w:rPr>
          <w:color w:val="000000" w:themeColor="text1"/>
        </w:rPr>
      </w:pPr>
      <w:r w:rsidRPr="004A782C">
        <w:rPr>
          <w:color w:val="000000" w:themeColor="text1"/>
        </w:rPr>
        <w:t xml:space="preserve">Data cleaning was conducted in Google Sheets, followed by analysis using descriptive and inferential statistics. The Welch t-test compared variables with unequal sample sizes, while one-way ANOVA was used for demographic comparisons, with </w:t>
      </w:r>
      <w:proofErr w:type="spellStart"/>
      <w:r w:rsidRPr="004A782C">
        <w:rPr>
          <w:color w:val="000000" w:themeColor="text1"/>
        </w:rPr>
        <w:t>Scheffé's</w:t>
      </w:r>
      <w:proofErr w:type="spellEnd"/>
      <w:r w:rsidRPr="004A782C">
        <w:rPr>
          <w:color w:val="000000" w:themeColor="text1"/>
        </w:rPr>
        <w:t xml:space="preserve"> HSD for pairwise comparisons. Subgroups with fewer than 30 participants were either me</w:t>
      </w:r>
      <w:r w:rsidR="008628F7" w:rsidRPr="004A782C">
        <w:rPr>
          <w:color w:val="000000" w:themeColor="text1"/>
        </w:rPr>
        <w:t xml:space="preserve">rged or excluded from analysis. </w:t>
      </w:r>
      <w:r w:rsidRPr="004A782C">
        <w:rPr>
          <w:color w:val="000000" w:themeColor="text1"/>
        </w:rPr>
        <w:t xml:space="preserve">Data analysis was carried out using JASP, and results were reported according to </w:t>
      </w:r>
      <w:r w:rsidR="00C95A87" w:rsidRPr="004A782C">
        <w:rPr>
          <w:color w:val="000000" w:themeColor="text1"/>
        </w:rPr>
        <w:t>standard statistical procedures</w:t>
      </w:r>
      <w:bookmarkStart w:id="2" w:name="_Hlk100396372"/>
      <w:bookmarkEnd w:id="2"/>
      <w:r w:rsidR="008628F7" w:rsidRPr="004A782C">
        <w:rPr>
          <w:color w:val="000000" w:themeColor="text1"/>
        </w:rPr>
        <w:t>.</w:t>
      </w:r>
    </w:p>
    <w:p w14:paraId="363F8E55" w14:textId="77777777" w:rsidR="00EF4CA3" w:rsidRDefault="00EF4CA3" w:rsidP="00B27EBA">
      <w:pPr>
        <w:pStyle w:val="Heading1"/>
        <w:spacing w:before="0"/>
        <w:contextualSpacing/>
        <w:jc w:val="both"/>
        <w:rPr>
          <w:rFonts w:cs="Times New Roman"/>
          <w:szCs w:val="24"/>
        </w:rPr>
      </w:pPr>
    </w:p>
    <w:p w14:paraId="52E39552" w14:textId="553BFA74" w:rsidR="0099475C" w:rsidRPr="00B27EBA" w:rsidRDefault="00EF4CA3" w:rsidP="00B27EBA">
      <w:pPr>
        <w:pStyle w:val="Heading1"/>
        <w:spacing w:before="0"/>
        <w:contextualSpacing/>
        <w:jc w:val="both"/>
        <w:rPr>
          <w:rFonts w:cs="Times New Roman"/>
          <w:sz w:val="28"/>
          <w:szCs w:val="28"/>
        </w:rPr>
      </w:pPr>
      <w:r w:rsidRPr="00B27EBA">
        <w:rPr>
          <w:rFonts w:cs="Times New Roman"/>
          <w:sz w:val="28"/>
          <w:szCs w:val="28"/>
        </w:rPr>
        <w:t xml:space="preserve">4. </w:t>
      </w:r>
      <w:r w:rsidR="0099475C" w:rsidRPr="00B27EBA">
        <w:rPr>
          <w:rFonts w:cs="Times New Roman"/>
          <w:sz w:val="28"/>
          <w:szCs w:val="28"/>
        </w:rPr>
        <w:t>Results</w:t>
      </w:r>
      <w:bookmarkEnd w:id="1"/>
    </w:p>
    <w:p w14:paraId="7FE44260" w14:textId="52F18C02" w:rsidR="0099475C" w:rsidRPr="004A782C" w:rsidRDefault="00EF4CA3" w:rsidP="00B27EBA">
      <w:pPr>
        <w:pStyle w:val="Heading2"/>
        <w:spacing w:before="0"/>
        <w:contextualSpacing/>
        <w:jc w:val="both"/>
        <w:rPr>
          <w:rFonts w:cs="Times New Roman"/>
          <w:szCs w:val="24"/>
        </w:rPr>
      </w:pPr>
      <w:r>
        <w:rPr>
          <w:rFonts w:cs="Times New Roman"/>
          <w:szCs w:val="24"/>
        </w:rPr>
        <w:t xml:space="preserve">4.1 </w:t>
      </w:r>
      <w:r w:rsidR="00DA56BC" w:rsidRPr="004A782C">
        <w:rPr>
          <w:rFonts w:cs="Times New Roman"/>
          <w:szCs w:val="24"/>
        </w:rPr>
        <w:t>Demographics Characteristics</w:t>
      </w:r>
    </w:p>
    <w:p w14:paraId="4AED552D" w14:textId="3EED8F2D" w:rsidR="004E715E" w:rsidRPr="004A782C" w:rsidRDefault="007C38E9" w:rsidP="00B27EBA">
      <w:pPr>
        <w:pStyle w:val="Caption"/>
        <w:keepNext/>
        <w:spacing w:after="0" w:line="276" w:lineRule="auto"/>
        <w:ind w:firstLine="720"/>
        <w:contextualSpacing/>
        <w:jc w:val="both"/>
        <w:rPr>
          <w:i w:val="0"/>
          <w:iCs w:val="0"/>
          <w:color w:val="000000" w:themeColor="text1"/>
          <w:sz w:val="24"/>
          <w:szCs w:val="24"/>
        </w:rPr>
      </w:pPr>
      <w:r w:rsidRPr="004A782C">
        <w:rPr>
          <w:i w:val="0"/>
          <w:iCs w:val="0"/>
          <w:color w:val="000000" w:themeColor="text1"/>
          <w:sz w:val="24"/>
          <w:szCs w:val="24"/>
        </w:rPr>
        <w:t xml:space="preserve">I </w:t>
      </w:r>
      <w:r w:rsidR="001B0F9F" w:rsidRPr="004A782C">
        <w:rPr>
          <w:i w:val="0"/>
          <w:iCs w:val="0"/>
          <w:color w:val="000000" w:themeColor="text1"/>
          <w:sz w:val="24"/>
          <w:szCs w:val="24"/>
        </w:rPr>
        <w:t xml:space="preserve">analyzed the data with JASP version 0.16.0.0, checking for normality and outliers. The skewness was 0.49 (SE = 0.13) and kurtosis was -0.69 (SE = 0.26). Participants had a mean age of 20.61 (SD = 1.67). The details of the demographic data </w:t>
      </w:r>
      <w:r w:rsidR="005B6932" w:rsidRPr="004A782C">
        <w:rPr>
          <w:i w:val="0"/>
          <w:iCs w:val="0"/>
          <w:color w:val="000000" w:themeColor="text1"/>
          <w:sz w:val="24"/>
          <w:szCs w:val="24"/>
        </w:rPr>
        <w:t>are</w:t>
      </w:r>
      <w:r w:rsidR="001B0F9F" w:rsidRPr="004A782C">
        <w:rPr>
          <w:i w:val="0"/>
          <w:iCs w:val="0"/>
          <w:color w:val="000000" w:themeColor="text1"/>
          <w:sz w:val="24"/>
          <w:szCs w:val="24"/>
        </w:rPr>
        <w:t xml:space="preserve"> given in </w:t>
      </w:r>
      <w:r w:rsidR="005B6932" w:rsidRPr="004A782C">
        <w:rPr>
          <w:i w:val="0"/>
          <w:iCs w:val="0"/>
          <w:color w:val="000000" w:themeColor="text1"/>
          <w:sz w:val="24"/>
          <w:szCs w:val="24"/>
        </w:rPr>
        <w:t>T</w:t>
      </w:r>
      <w:r w:rsidR="001B0F9F" w:rsidRPr="004A782C">
        <w:rPr>
          <w:i w:val="0"/>
          <w:iCs w:val="0"/>
          <w:color w:val="000000" w:themeColor="text1"/>
          <w:sz w:val="24"/>
          <w:szCs w:val="24"/>
        </w:rPr>
        <w:t xml:space="preserve">able 1. </w:t>
      </w:r>
      <w:bookmarkStart w:id="3" w:name="_Toc128114181"/>
      <w:bookmarkStart w:id="4" w:name="_Hlk91947150"/>
    </w:p>
    <w:p w14:paraId="4F0E39F2" w14:textId="680CA77F" w:rsidR="004E715E" w:rsidRPr="004A782C" w:rsidRDefault="00FF5605" w:rsidP="00B27EBA">
      <w:pPr>
        <w:pStyle w:val="Caption"/>
        <w:keepNext/>
        <w:spacing w:after="0" w:line="276" w:lineRule="auto"/>
        <w:ind w:firstLine="720"/>
        <w:contextualSpacing/>
        <w:jc w:val="both"/>
        <w:rPr>
          <w:rFonts w:eastAsia="Times New Roman"/>
          <w:i w:val="0"/>
          <w:iCs w:val="0"/>
          <w:color w:val="000000" w:themeColor="text1"/>
          <w:sz w:val="24"/>
          <w:szCs w:val="24"/>
          <w:lang w:bidi="ne-NP"/>
        </w:rPr>
      </w:pPr>
      <w:r w:rsidRPr="004A782C">
        <w:rPr>
          <w:i w:val="0"/>
          <w:iCs w:val="0"/>
          <w:color w:val="000000" w:themeColor="text1"/>
          <w:sz w:val="24"/>
          <w:szCs w:val="24"/>
          <w:lang w:bidi="ne-NP"/>
        </w:rPr>
        <w:t>Ac</w:t>
      </w:r>
      <w:r w:rsidR="007C38E9" w:rsidRPr="004A782C">
        <w:rPr>
          <w:i w:val="0"/>
          <w:iCs w:val="0"/>
          <w:color w:val="000000" w:themeColor="text1"/>
          <w:sz w:val="24"/>
          <w:szCs w:val="24"/>
          <w:lang w:bidi="ne-NP"/>
        </w:rPr>
        <w:t>cording to the cutoff scores, I</w:t>
      </w:r>
      <w:r w:rsidRPr="004A782C">
        <w:rPr>
          <w:i w:val="0"/>
          <w:iCs w:val="0"/>
          <w:color w:val="000000" w:themeColor="text1"/>
          <w:sz w:val="24"/>
          <w:szCs w:val="24"/>
          <w:lang w:bidi="ne-NP"/>
        </w:rPr>
        <w:t xml:space="preserve"> observed </w:t>
      </w:r>
      <w:r w:rsidR="00BD24C6" w:rsidRPr="004A782C">
        <w:rPr>
          <w:i w:val="0"/>
          <w:iCs w:val="0"/>
          <w:color w:val="000000" w:themeColor="text1"/>
          <w:sz w:val="24"/>
          <w:szCs w:val="24"/>
          <w:lang w:bidi="ne-NP"/>
        </w:rPr>
        <w:t>that scores ranging from 0 to 19</w:t>
      </w:r>
      <w:r w:rsidRPr="004A782C">
        <w:rPr>
          <w:i w:val="0"/>
          <w:iCs w:val="0"/>
          <w:color w:val="000000" w:themeColor="text1"/>
          <w:sz w:val="24"/>
          <w:szCs w:val="24"/>
          <w:lang w:bidi="ne-NP"/>
        </w:rPr>
        <w:t xml:space="preserve"> indicated highly fav</w:t>
      </w:r>
      <w:r w:rsidR="00BD24C6" w:rsidRPr="004A782C">
        <w:rPr>
          <w:i w:val="0"/>
          <w:iCs w:val="0"/>
          <w:color w:val="000000" w:themeColor="text1"/>
          <w:sz w:val="24"/>
          <w:szCs w:val="24"/>
          <w:lang w:bidi="ne-NP"/>
        </w:rPr>
        <w:t>orable attitudes, scores from 20 to 29</w:t>
      </w:r>
      <w:r w:rsidRPr="004A782C">
        <w:rPr>
          <w:i w:val="0"/>
          <w:iCs w:val="0"/>
          <w:color w:val="000000" w:themeColor="text1"/>
          <w:sz w:val="24"/>
          <w:szCs w:val="24"/>
          <w:lang w:bidi="ne-NP"/>
        </w:rPr>
        <w:t xml:space="preserve"> indicated fav</w:t>
      </w:r>
      <w:r w:rsidR="00BD24C6" w:rsidRPr="004A782C">
        <w:rPr>
          <w:i w:val="0"/>
          <w:iCs w:val="0"/>
          <w:color w:val="000000" w:themeColor="text1"/>
          <w:sz w:val="24"/>
          <w:szCs w:val="24"/>
          <w:lang w:bidi="ne-NP"/>
        </w:rPr>
        <w:t>orable attitudes, scores from 30 to 49</w:t>
      </w:r>
      <w:r w:rsidRPr="004A782C">
        <w:rPr>
          <w:i w:val="0"/>
          <w:iCs w:val="0"/>
          <w:color w:val="000000" w:themeColor="text1"/>
          <w:sz w:val="24"/>
          <w:szCs w:val="24"/>
          <w:lang w:bidi="ne-NP"/>
        </w:rPr>
        <w:t xml:space="preserve"> indicated unfavor</w:t>
      </w:r>
      <w:r w:rsidR="00BD24C6" w:rsidRPr="004A782C">
        <w:rPr>
          <w:i w:val="0"/>
          <w:iCs w:val="0"/>
          <w:color w:val="000000" w:themeColor="text1"/>
          <w:sz w:val="24"/>
          <w:szCs w:val="24"/>
          <w:lang w:bidi="ne-NP"/>
        </w:rPr>
        <w:t>able attitudes, and scores</w:t>
      </w:r>
      <w:r w:rsidRPr="004A782C">
        <w:rPr>
          <w:i w:val="0"/>
          <w:iCs w:val="0"/>
          <w:color w:val="000000" w:themeColor="text1"/>
          <w:sz w:val="24"/>
          <w:szCs w:val="24"/>
          <w:lang w:bidi="ne-NP"/>
        </w:rPr>
        <w:t xml:space="preserve"> 50 </w:t>
      </w:r>
      <w:r w:rsidR="00BD24C6" w:rsidRPr="004A782C">
        <w:rPr>
          <w:i w:val="0"/>
          <w:iCs w:val="0"/>
          <w:color w:val="000000" w:themeColor="text1"/>
          <w:sz w:val="24"/>
          <w:szCs w:val="24"/>
          <w:lang w:bidi="ne-NP"/>
        </w:rPr>
        <w:t xml:space="preserve">and above </w:t>
      </w:r>
      <w:r w:rsidRPr="004A782C">
        <w:rPr>
          <w:i w:val="0"/>
          <w:iCs w:val="0"/>
          <w:color w:val="000000" w:themeColor="text1"/>
          <w:sz w:val="24"/>
          <w:szCs w:val="24"/>
          <w:lang w:bidi="ne-NP"/>
        </w:rPr>
        <w:t xml:space="preserve">indicated highly unfavorable attitudes. </w:t>
      </w:r>
      <w:r w:rsidR="007C38E9" w:rsidRPr="004A782C">
        <w:rPr>
          <w:i w:val="0"/>
          <w:iCs w:val="0"/>
          <w:color w:val="000000" w:themeColor="text1"/>
          <w:sz w:val="24"/>
          <w:szCs w:val="24"/>
          <w:lang w:bidi="ne-NP"/>
        </w:rPr>
        <w:t>The</w:t>
      </w:r>
      <w:r w:rsidR="004549B3" w:rsidRPr="004A782C">
        <w:rPr>
          <w:i w:val="0"/>
          <w:iCs w:val="0"/>
          <w:color w:val="000000" w:themeColor="text1"/>
          <w:sz w:val="24"/>
          <w:szCs w:val="24"/>
          <w:lang w:bidi="ne-NP"/>
        </w:rPr>
        <w:t xml:space="preserve"> study participants </w:t>
      </w:r>
      <w:r w:rsidR="001F6155" w:rsidRPr="004A782C">
        <w:rPr>
          <w:i w:val="0"/>
          <w:iCs w:val="0"/>
          <w:color w:val="000000" w:themeColor="text1"/>
          <w:sz w:val="24"/>
          <w:szCs w:val="24"/>
          <w:lang w:bidi="ne-NP"/>
        </w:rPr>
        <w:t xml:space="preserve">exhibited predominantly </w:t>
      </w:r>
      <w:proofErr w:type="spellStart"/>
      <w:r w:rsidR="001F6155" w:rsidRPr="004A782C">
        <w:rPr>
          <w:i w:val="0"/>
          <w:iCs w:val="0"/>
          <w:color w:val="000000" w:themeColor="text1"/>
          <w:sz w:val="24"/>
          <w:szCs w:val="24"/>
          <w:lang w:bidi="ne-NP"/>
        </w:rPr>
        <w:t>unfavourable</w:t>
      </w:r>
      <w:proofErr w:type="spellEnd"/>
      <w:r w:rsidR="004549B3" w:rsidRPr="004A782C">
        <w:rPr>
          <w:i w:val="0"/>
          <w:iCs w:val="0"/>
          <w:color w:val="000000" w:themeColor="text1"/>
          <w:sz w:val="24"/>
          <w:szCs w:val="24"/>
          <w:lang w:bidi="ne-NP"/>
        </w:rPr>
        <w:t xml:space="preserve"> attitudes towards </w:t>
      </w:r>
      <w:r w:rsidR="004549B3" w:rsidRPr="004A782C">
        <w:rPr>
          <w:i w:val="0"/>
          <w:iCs w:val="0"/>
          <w:color w:val="000000" w:themeColor="text1"/>
          <w:sz w:val="24"/>
          <w:szCs w:val="24"/>
          <w:lang w:bidi="ne-NP"/>
        </w:rPr>
        <w:lastRenderedPageBreak/>
        <w:t>mental health problems overall</w:t>
      </w:r>
      <w:r w:rsidR="00295943" w:rsidRPr="004A782C">
        <w:rPr>
          <w:i w:val="0"/>
          <w:iCs w:val="0"/>
          <w:color w:val="000000" w:themeColor="text1"/>
          <w:sz w:val="24"/>
          <w:szCs w:val="24"/>
          <w:lang w:bidi="ne-NP"/>
        </w:rPr>
        <w:t xml:space="preserve"> (Table 2, Table 3 &amp; Table 4)</w:t>
      </w:r>
      <w:r w:rsidR="00CA0084" w:rsidRPr="004A782C">
        <w:rPr>
          <w:i w:val="0"/>
          <w:iCs w:val="0"/>
          <w:color w:val="000000" w:themeColor="text1"/>
          <w:sz w:val="24"/>
          <w:szCs w:val="24"/>
          <w:lang w:bidi="ne-NP"/>
        </w:rPr>
        <w:t xml:space="preserve">. </w:t>
      </w:r>
      <w:r w:rsidRPr="004A782C">
        <w:rPr>
          <w:i w:val="0"/>
          <w:iCs w:val="0"/>
          <w:color w:val="000000" w:themeColor="text1"/>
          <w:sz w:val="24"/>
          <w:szCs w:val="24"/>
          <w:lang w:bidi="ne-NP"/>
        </w:rPr>
        <w:t>In the ATMHP scale, a higher score indicates a higher level of unfavorable attitudes, and vice versa</w:t>
      </w:r>
      <w:r w:rsidR="00295943" w:rsidRPr="004A782C">
        <w:rPr>
          <w:i w:val="0"/>
          <w:iCs w:val="0"/>
          <w:color w:val="000000" w:themeColor="text1"/>
          <w:sz w:val="24"/>
          <w:szCs w:val="24"/>
          <w:lang w:bidi="ne-NP"/>
        </w:rPr>
        <w:t>.</w:t>
      </w:r>
    </w:p>
    <w:p w14:paraId="4C78F05D" w14:textId="77777777" w:rsidR="00EF4CA3" w:rsidRDefault="00EF4CA3" w:rsidP="00B27EBA">
      <w:pPr>
        <w:pStyle w:val="Caption"/>
        <w:keepNext/>
        <w:spacing w:after="0" w:line="276" w:lineRule="auto"/>
        <w:contextualSpacing/>
        <w:jc w:val="both"/>
        <w:rPr>
          <w:b/>
          <w:bCs/>
          <w:i w:val="0"/>
          <w:iCs w:val="0"/>
          <w:color w:val="000000" w:themeColor="text1"/>
          <w:sz w:val="24"/>
          <w:szCs w:val="24"/>
        </w:rPr>
      </w:pPr>
    </w:p>
    <w:p w14:paraId="79FD90B6" w14:textId="5150B690" w:rsidR="00500BC6" w:rsidRPr="004A782C" w:rsidRDefault="00500BC6" w:rsidP="00B27EBA">
      <w:pPr>
        <w:pStyle w:val="Caption"/>
        <w:keepNext/>
        <w:spacing w:after="0" w:line="276" w:lineRule="auto"/>
        <w:contextualSpacing/>
        <w:jc w:val="both"/>
        <w:rPr>
          <w:b/>
          <w:bCs/>
          <w:i w:val="0"/>
          <w:iCs w:val="0"/>
          <w:noProof/>
          <w:color w:val="000000" w:themeColor="text1"/>
          <w:sz w:val="24"/>
          <w:szCs w:val="24"/>
        </w:rPr>
      </w:pPr>
      <w:r w:rsidRPr="004A782C">
        <w:rPr>
          <w:b/>
          <w:bCs/>
          <w:i w:val="0"/>
          <w:iCs w:val="0"/>
          <w:color w:val="000000" w:themeColor="text1"/>
          <w:sz w:val="24"/>
          <w:szCs w:val="24"/>
        </w:rPr>
        <w:t xml:space="preserve">Table </w:t>
      </w:r>
      <w:r w:rsidRPr="004A782C">
        <w:rPr>
          <w:b/>
          <w:bCs/>
          <w:i w:val="0"/>
          <w:iCs w:val="0"/>
          <w:color w:val="000000" w:themeColor="text1"/>
          <w:sz w:val="24"/>
          <w:szCs w:val="24"/>
        </w:rPr>
        <w:fldChar w:fldCharType="begin"/>
      </w:r>
      <w:r w:rsidRPr="004A782C">
        <w:rPr>
          <w:b/>
          <w:bCs/>
          <w:i w:val="0"/>
          <w:iCs w:val="0"/>
          <w:color w:val="000000" w:themeColor="text1"/>
          <w:sz w:val="24"/>
          <w:szCs w:val="24"/>
        </w:rPr>
        <w:instrText xml:space="preserve"> SEQ Table \* ARABIC </w:instrText>
      </w:r>
      <w:r w:rsidRPr="004A782C">
        <w:rPr>
          <w:b/>
          <w:bCs/>
          <w:i w:val="0"/>
          <w:iCs w:val="0"/>
          <w:color w:val="000000" w:themeColor="text1"/>
          <w:sz w:val="24"/>
          <w:szCs w:val="24"/>
        </w:rPr>
        <w:fldChar w:fldCharType="separate"/>
      </w:r>
      <w:r w:rsidR="00BF4F7A">
        <w:rPr>
          <w:b/>
          <w:bCs/>
          <w:i w:val="0"/>
          <w:iCs w:val="0"/>
          <w:noProof/>
          <w:color w:val="000000" w:themeColor="text1"/>
          <w:sz w:val="24"/>
          <w:szCs w:val="24"/>
        </w:rPr>
        <w:t>2</w:t>
      </w:r>
      <w:r w:rsidRPr="004A782C">
        <w:rPr>
          <w:b/>
          <w:bCs/>
          <w:i w:val="0"/>
          <w:iCs w:val="0"/>
          <w:color w:val="000000" w:themeColor="text1"/>
          <w:sz w:val="24"/>
          <w:szCs w:val="24"/>
        </w:rPr>
        <w:fldChar w:fldCharType="end"/>
      </w:r>
      <w:r w:rsidRPr="004A782C">
        <w:rPr>
          <w:b/>
          <w:bCs/>
          <w:i w:val="0"/>
          <w:iCs w:val="0"/>
          <w:noProof/>
          <w:color w:val="000000" w:themeColor="text1"/>
          <w:sz w:val="24"/>
          <w:szCs w:val="24"/>
        </w:rPr>
        <w:t xml:space="preserve">: </w:t>
      </w:r>
      <w:r w:rsidRPr="004A782C">
        <w:rPr>
          <w:noProof/>
          <w:color w:val="000000" w:themeColor="text1"/>
          <w:sz w:val="24"/>
          <w:szCs w:val="24"/>
        </w:rPr>
        <w:t>Descriptive Statistics</w:t>
      </w:r>
    </w:p>
    <w:tbl>
      <w:tblPr>
        <w:tblW w:w="5000" w:type="pct"/>
        <w:tblBorders>
          <w:top w:val="single" w:sz="4" w:space="0" w:color="auto"/>
          <w:bottom w:val="single" w:sz="4" w:space="0" w:color="auto"/>
        </w:tblBorders>
        <w:tblLook w:val="04A0" w:firstRow="1" w:lastRow="0" w:firstColumn="1" w:lastColumn="0" w:noHBand="0" w:noVBand="1"/>
      </w:tblPr>
      <w:tblGrid>
        <w:gridCol w:w="1674"/>
        <w:gridCol w:w="2237"/>
        <w:gridCol w:w="1404"/>
        <w:gridCol w:w="1289"/>
        <w:gridCol w:w="1213"/>
        <w:gridCol w:w="1209"/>
      </w:tblGrid>
      <w:tr w:rsidR="00500BC6" w:rsidRPr="004A782C" w14:paraId="756AFF0D" w14:textId="77777777" w:rsidTr="009D6757">
        <w:trPr>
          <w:trHeight w:val="304"/>
        </w:trPr>
        <w:tc>
          <w:tcPr>
            <w:tcW w:w="927" w:type="pct"/>
            <w:tcBorders>
              <w:top w:val="single" w:sz="4" w:space="0" w:color="auto"/>
              <w:bottom w:val="single" w:sz="4" w:space="0" w:color="auto"/>
            </w:tcBorders>
            <w:shd w:val="clear" w:color="auto" w:fill="auto"/>
            <w:vAlign w:val="center"/>
            <w:hideMark/>
          </w:tcPr>
          <w:p w14:paraId="0FA58BD5"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 xml:space="preserve"> Categories </w:t>
            </w:r>
          </w:p>
        </w:tc>
        <w:tc>
          <w:tcPr>
            <w:tcW w:w="1239" w:type="pct"/>
            <w:tcBorders>
              <w:top w:val="single" w:sz="4" w:space="0" w:color="auto"/>
              <w:bottom w:val="single" w:sz="4" w:space="0" w:color="auto"/>
            </w:tcBorders>
            <w:shd w:val="clear" w:color="auto" w:fill="auto"/>
            <w:vAlign w:val="center"/>
            <w:hideMark/>
          </w:tcPr>
          <w:p w14:paraId="5CF22BA4"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Mean (SD)</w:t>
            </w:r>
          </w:p>
          <w:p w14:paraId="5181146F"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 xml:space="preserve"> </w:t>
            </w:r>
            <w:r w:rsidRPr="004A782C">
              <w:rPr>
                <w:color w:val="000000" w:themeColor="text1"/>
              </w:rPr>
              <w:t>(</w:t>
            </w:r>
            <w:r w:rsidRPr="004A782C">
              <w:rPr>
                <w:i/>
                <w:iCs/>
                <w:color w:val="000000" w:themeColor="text1"/>
              </w:rPr>
              <w:t>N</w:t>
            </w:r>
            <w:r w:rsidRPr="004A782C">
              <w:rPr>
                <w:color w:val="000000" w:themeColor="text1"/>
              </w:rPr>
              <w:t xml:space="preserve"> = 348)</w:t>
            </w:r>
          </w:p>
        </w:tc>
        <w:tc>
          <w:tcPr>
            <w:tcW w:w="778" w:type="pct"/>
            <w:tcBorders>
              <w:top w:val="single" w:sz="4" w:space="0" w:color="auto"/>
              <w:bottom w:val="single" w:sz="4" w:space="0" w:color="auto"/>
            </w:tcBorders>
            <w:shd w:val="clear" w:color="auto" w:fill="auto"/>
            <w:vAlign w:val="center"/>
            <w:hideMark/>
          </w:tcPr>
          <w:p w14:paraId="5FF9C8B4"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Minimum to Maximum</w:t>
            </w:r>
          </w:p>
        </w:tc>
        <w:tc>
          <w:tcPr>
            <w:tcW w:w="714" w:type="pct"/>
            <w:tcBorders>
              <w:top w:val="single" w:sz="4" w:space="0" w:color="auto"/>
              <w:bottom w:val="single" w:sz="4" w:space="0" w:color="auto"/>
            </w:tcBorders>
            <w:shd w:val="clear" w:color="auto" w:fill="auto"/>
            <w:vAlign w:val="center"/>
            <w:hideMark/>
          </w:tcPr>
          <w:p w14:paraId="0C958E31"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25th percentile</w:t>
            </w:r>
          </w:p>
        </w:tc>
        <w:tc>
          <w:tcPr>
            <w:tcW w:w="672" w:type="pct"/>
            <w:tcBorders>
              <w:top w:val="single" w:sz="4" w:space="0" w:color="auto"/>
              <w:bottom w:val="single" w:sz="4" w:space="0" w:color="auto"/>
            </w:tcBorders>
            <w:shd w:val="clear" w:color="auto" w:fill="auto"/>
            <w:vAlign w:val="center"/>
            <w:hideMark/>
          </w:tcPr>
          <w:p w14:paraId="607C9762"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50th percentile</w:t>
            </w:r>
          </w:p>
        </w:tc>
        <w:tc>
          <w:tcPr>
            <w:tcW w:w="670" w:type="pct"/>
            <w:tcBorders>
              <w:top w:val="single" w:sz="4" w:space="0" w:color="auto"/>
              <w:bottom w:val="single" w:sz="4" w:space="0" w:color="auto"/>
            </w:tcBorders>
            <w:shd w:val="clear" w:color="auto" w:fill="auto"/>
            <w:vAlign w:val="center"/>
            <w:hideMark/>
          </w:tcPr>
          <w:p w14:paraId="26C8838A"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75th percentile</w:t>
            </w:r>
          </w:p>
        </w:tc>
      </w:tr>
      <w:tr w:rsidR="00500BC6" w:rsidRPr="004A782C" w14:paraId="7FB2CD96" w14:textId="77777777" w:rsidTr="009D6757">
        <w:trPr>
          <w:trHeight w:val="275"/>
        </w:trPr>
        <w:tc>
          <w:tcPr>
            <w:tcW w:w="927" w:type="pct"/>
            <w:tcBorders>
              <w:top w:val="single" w:sz="4" w:space="0" w:color="auto"/>
            </w:tcBorders>
            <w:shd w:val="clear" w:color="auto" w:fill="auto"/>
            <w:vAlign w:val="center"/>
            <w:hideMark/>
          </w:tcPr>
          <w:p w14:paraId="24C77F39" w14:textId="51502CCF"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ATMHP</w:t>
            </w:r>
            <w:r w:rsidR="00C92EDD" w:rsidRPr="004A782C">
              <w:rPr>
                <w:rFonts w:eastAsia="Times New Roman"/>
                <w:color w:val="000000"/>
                <w:lang w:bidi="ne-NP"/>
              </w:rPr>
              <w:t xml:space="preserve"> Factor</w:t>
            </w:r>
          </w:p>
        </w:tc>
        <w:tc>
          <w:tcPr>
            <w:tcW w:w="1239" w:type="pct"/>
            <w:tcBorders>
              <w:top w:val="single" w:sz="4" w:space="0" w:color="auto"/>
            </w:tcBorders>
            <w:shd w:val="clear" w:color="auto" w:fill="auto"/>
            <w:vAlign w:val="center"/>
            <w:hideMark/>
          </w:tcPr>
          <w:p w14:paraId="14687DF5"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8.89 (5.34)</w:t>
            </w:r>
          </w:p>
        </w:tc>
        <w:tc>
          <w:tcPr>
            <w:tcW w:w="778" w:type="pct"/>
            <w:tcBorders>
              <w:top w:val="single" w:sz="4" w:space="0" w:color="auto"/>
            </w:tcBorders>
            <w:shd w:val="clear" w:color="auto" w:fill="auto"/>
            <w:vAlign w:val="center"/>
            <w:hideMark/>
          </w:tcPr>
          <w:p w14:paraId="07B4E817"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0-24</w:t>
            </w:r>
          </w:p>
        </w:tc>
        <w:tc>
          <w:tcPr>
            <w:tcW w:w="714" w:type="pct"/>
            <w:tcBorders>
              <w:top w:val="single" w:sz="4" w:space="0" w:color="auto"/>
            </w:tcBorders>
            <w:shd w:val="clear" w:color="auto" w:fill="auto"/>
            <w:vAlign w:val="center"/>
            <w:hideMark/>
          </w:tcPr>
          <w:p w14:paraId="423863CA"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5</w:t>
            </w:r>
          </w:p>
        </w:tc>
        <w:tc>
          <w:tcPr>
            <w:tcW w:w="672" w:type="pct"/>
            <w:tcBorders>
              <w:top w:val="single" w:sz="4" w:space="0" w:color="auto"/>
            </w:tcBorders>
            <w:shd w:val="clear" w:color="auto" w:fill="auto"/>
            <w:vAlign w:val="center"/>
            <w:hideMark/>
          </w:tcPr>
          <w:p w14:paraId="08592762"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8</w:t>
            </w:r>
          </w:p>
        </w:tc>
        <w:tc>
          <w:tcPr>
            <w:tcW w:w="670" w:type="pct"/>
            <w:tcBorders>
              <w:top w:val="single" w:sz="4" w:space="0" w:color="auto"/>
            </w:tcBorders>
            <w:shd w:val="clear" w:color="auto" w:fill="auto"/>
            <w:vAlign w:val="center"/>
            <w:hideMark/>
          </w:tcPr>
          <w:p w14:paraId="5F489CC3"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12</w:t>
            </w:r>
          </w:p>
        </w:tc>
      </w:tr>
      <w:tr w:rsidR="00500BC6" w:rsidRPr="004A782C" w14:paraId="5307325B" w14:textId="77777777" w:rsidTr="009D6757">
        <w:trPr>
          <w:trHeight w:val="275"/>
        </w:trPr>
        <w:tc>
          <w:tcPr>
            <w:tcW w:w="927" w:type="pct"/>
            <w:shd w:val="clear" w:color="auto" w:fill="auto"/>
            <w:vAlign w:val="center"/>
            <w:hideMark/>
          </w:tcPr>
          <w:p w14:paraId="0985F127" w14:textId="465B9544"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ES</w:t>
            </w:r>
            <w:r w:rsidR="00C92EDD" w:rsidRPr="004A782C">
              <w:rPr>
                <w:rFonts w:eastAsia="Times New Roman"/>
                <w:color w:val="000000"/>
                <w:lang w:bidi="ne-NP"/>
              </w:rPr>
              <w:t xml:space="preserve"> Factor</w:t>
            </w:r>
          </w:p>
        </w:tc>
        <w:tc>
          <w:tcPr>
            <w:tcW w:w="1239" w:type="pct"/>
            <w:shd w:val="clear" w:color="auto" w:fill="auto"/>
            <w:vAlign w:val="center"/>
            <w:hideMark/>
          </w:tcPr>
          <w:p w14:paraId="728109CE"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8.31 (7.04)</w:t>
            </w:r>
          </w:p>
        </w:tc>
        <w:tc>
          <w:tcPr>
            <w:tcW w:w="778" w:type="pct"/>
            <w:shd w:val="clear" w:color="auto" w:fill="auto"/>
            <w:vAlign w:val="center"/>
            <w:hideMark/>
          </w:tcPr>
          <w:p w14:paraId="5B621D38"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0-30</w:t>
            </w:r>
          </w:p>
        </w:tc>
        <w:tc>
          <w:tcPr>
            <w:tcW w:w="714" w:type="pct"/>
            <w:shd w:val="clear" w:color="auto" w:fill="auto"/>
            <w:vAlign w:val="center"/>
            <w:hideMark/>
          </w:tcPr>
          <w:p w14:paraId="5E07D112"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2.75</w:t>
            </w:r>
          </w:p>
        </w:tc>
        <w:tc>
          <w:tcPr>
            <w:tcW w:w="672" w:type="pct"/>
            <w:shd w:val="clear" w:color="auto" w:fill="auto"/>
            <w:vAlign w:val="center"/>
            <w:hideMark/>
          </w:tcPr>
          <w:p w14:paraId="6CEC96AC"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7</w:t>
            </w:r>
          </w:p>
        </w:tc>
        <w:tc>
          <w:tcPr>
            <w:tcW w:w="670" w:type="pct"/>
            <w:shd w:val="clear" w:color="auto" w:fill="auto"/>
            <w:vAlign w:val="center"/>
            <w:hideMark/>
          </w:tcPr>
          <w:p w14:paraId="4B5D3D58"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13</w:t>
            </w:r>
          </w:p>
        </w:tc>
      </w:tr>
      <w:tr w:rsidR="00500BC6" w:rsidRPr="004A782C" w14:paraId="2E572BD9" w14:textId="77777777" w:rsidTr="009D6757">
        <w:trPr>
          <w:trHeight w:val="275"/>
        </w:trPr>
        <w:tc>
          <w:tcPr>
            <w:tcW w:w="927" w:type="pct"/>
            <w:shd w:val="clear" w:color="auto" w:fill="auto"/>
            <w:vAlign w:val="center"/>
            <w:hideMark/>
          </w:tcPr>
          <w:p w14:paraId="5623C1A5" w14:textId="640D835B"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IS</w:t>
            </w:r>
            <w:r w:rsidR="00C92EDD" w:rsidRPr="004A782C">
              <w:rPr>
                <w:rFonts w:eastAsia="Times New Roman"/>
                <w:color w:val="000000"/>
                <w:lang w:bidi="ne-NP"/>
              </w:rPr>
              <w:t xml:space="preserve"> Factor</w:t>
            </w:r>
          </w:p>
        </w:tc>
        <w:tc>
          <w:tcPr>
            <w:tcW w:w="1239" w:type="pct"/>
            <w:shd w:val="clear" w:color="auto" w:fill="auto"/>
            <w:vAlign w:val="center"/>
            <w:hideMark/>
          </w:tcPr>
          <w:p w14:paraId="34C8C90F"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3.79 (3.72)</w:t>
            </w:r>
          </w:p>
        </w:tc>
        <w:tc>
          <w:tcPr>
            <w:tcW w:w="778" w:type="pct"/>
            <w:shd w:val="clear" w:color="auto" w:fill="auto"/>
            <w:vAlign w:val="center"/>
            <w:hideMark/>
          </w:tcPr>
          <w:p w14:paraId="15D6106E"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0-15</w:t>
            </w:r>
          </w:p>
        </w:tc>
        <w:tc>
          <w:tcPr>
            <w:tcW w:w="714" w:type="pct"/>
            <w:shd w:val="clear" w:color="auto" w:fill="auto"/>
            <w:vAlign w:val="center"/>
            <w:hideMark/>
          </w:tcPr>
          <w:p w14:paraId="5041067B"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1</w:t>
            </w:r>
          </w:p>
        </w:tc>
        <w:tc>
          <w:tcPr>
            <w:tcW w:w="672" w:type="pct"/>
            <w:shd w:val="clear" w:color="auto" w:fill="auto"/>
            <w:vAlign w:val="center"/>
            <w:hideMark/>
          </w:tcPr>
          <w:p w14:paraId="69A27133"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3</w:t>
            </w:r>
          </w:p>
        </w:tc>
        <w:tc>
          <w:tcPr>
            <w:tcW w:w="670" w:type="pct"/>
            <w:shd w:val="clear" w:color="auto" w:fill="auto"/>
            <w:vAlign w:val="center"/>
            <w:hideMark/>
          </w:tcPr>
          <w:p w14:paraId="17DDAD89"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5</w:t>
            </w:r>
          </w:p>
        </w:tc>
      </w:tr>
      <w:tr w:rsidR="00500BC6" w:rsidRPr="004A782C" w14:paraId="75AAE221" w14:textId="77777777" w:rsidTr="009D6757">
        <w:trPr>
          <w:trHeight w:val="290"/>
        </w:trPr>
        <w:tc>
          <w:tcPr>
            <w:tcW w:w="927" w:type="pct"/>
            <w:shd w:val="clear" w:color="auto" w:fill="auto"/>
            <w:vAlign w:val="center"/>
            <w:hideMark/>
          </w:tcPr>
          <w:p w14:paraId="6139FDD2" w14:textId="2A521028"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RS1</w:t>
            </w:r>
            <w:r w:rsidR="00C92EDD" w:rsidRPr="004A782C">
              <w:rPr>
                <w:rFonts w:eastAsia="Times New Roman"/>
                <w:color w:val="000000"/>
                <w:lang w:bidi="ne-NP"/>
              </w:rPr>
              <w:t xml:space="preserve"> Factor</w:t>
            </w:r>
          </w:p>
        </w:tc>
        <w:tc>
          <w:tcPr>
            <w:tcW w:w="1239" w:type="pct"/>
            <w:shd w:val="clear" w:color="auto" w:fill="auto"/>
            <w:vAlign w:val="center"/>
            <w:hideMark/>
          </w:tcPr>
          <w:p w14:paraId="08CB40E7"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7.9 (5.33)</w:t>
            </w:r>
          </w:p>
        </w:tc>
        <w:tc>
          <w:tcPr>
            <w:tcW w:w="778" w:type="pct"/>
            <w:shd w:val="clear" w:color="auto" w:fill="auto"/>
            <w:vAlign w:val="center"/>
            <w:hideMark/>
          </w:tcPr>
          <w:p w14:paraId="788588B3"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0-21</w:t>
            </w:r>
          </w:p>
        </w:tc>
        <w:tc>
          <w:tcPr>
            <w:tcW w:w="714" w:type="pct"/>
            <w:shd w:val="clear" w:color="auto" w:fill="auto"/>
            <w:vAlign w:val="center"/>
            <w:hideMark/>
          </w:tcPr>
          <w:p w14:paraId="35DA305E"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4</w:t>
            </w:r>
          </w:p>
        </w:tc>
        <w:tc>
          <w:tcPr>
            <w:tcW w:w="672" w:type="pct"/>
            <w:shd w:val="clear" w:color="auto" w:fill="auto"/>
            <w:vAlign w:val="center"/>
            <w:hideMark/>
          </w:tcPr>
          <w:p w14:paraId="0E7E4B03"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7</w:t>
            </w:r>
          </w:p>
        </w:tc>
        <w:tc>
          <w:tcPr>
            <w:tcW w:w="670" w:type="pct"/>
            <w:shd w:val="clear" w:color="auto" w:fill="auto"/>
            <w:vAlign w:val="center"/>
            <w:hideMark/>
          </w:tcPr>
          <w:p w14:paraId="1E1062CC"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12</w:t>
            </w:r>
          </w:p>
        </w:tc>
      </w:tr>
      <w:tr w:rsidR="00500BC6" w:rsidRPr="004A782C" w14:paraId="0508C62D" w14:textId="77777777" w:rsidTr="009D6757">
        <w:trPr>
          <w:trHeight w:val="275"/>
        </w:trPr>
        <w:tc>
          <w:tcPr>
            <w:tcW w:w="927" w:type="pct"/>
            <w:shd w:val="clear" w:color="auto" w:fill="auto"/>
            <w:vAlign w:val="center"/>
            <w:hideMark/>
          </w:tcPr>
          <w:p w14:paraId="37B20AC5" w14:textId="7987C11E"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RS2</w:t>
            </w:r>
            <w:r w:rsidR="00C92EDD" w:rsidRPr="004A782C">
              <w:rPr>
                <w:rFonts w:eastAsia="Times New Roman"/>
                <w:color w:val="000000"/>
                <w:lang w:bidi="ne-NP"/>
              </w:rPr>
              <w:t xml:space="preserve"> Factor</w:t>
            </w:r>
          </w:p>
        </w:tc>
        <w:tc>
          <w:tcPr>
            <w:tcW w:w="1239" w:type="pct"/>
            <w:shd w:val="clear" w:color="auto" w:fill="auto"/>
            <w:vAlign w:val="center"/>
            <w:hideMark/>
          </w:tcPr>
          <w:p w14:paraId="4453E7EE"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5.50 (4.61)</w:t>
            </w:r>
          </w:p>
        </w:tc>
        <w:tc>
          <w:tcPr>
            <w:tcW w:w="778" w:type="pct"/>
            <w:shd w:val="clear" w:color="auto" w:fill="auto"/>
            <w:vAlign w:val="center"/>
            <w:hideMark/>
          </w:tcPr>
          <w:p w14:paraId="61F5706C"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0-15</w:t>
            </w:r>
          </w:p>
        </w:tc>
        <w:tc>
          <w:tcPr>
            <w:tcW w:w="714" w:type="pct"/>
            <w:shd w:val="clear" w:color="auto" w:fill="auto"/>
            <w:vAlign w:val="center"/>
            <w:hideMark/>
          </w:tcPr>
          <w:p w14:paraId="1FE6CCB5"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1.75</w:t>
            </w:r>
          </w:p>
        </w:tc>
        <w:tc>
          <w:tcPr>
            <w:tcW w:w="672" w:type="pct"/>
            <w:shd w:val="clear" w:color="auto" w:fill="auto"/>
            <w:vAlign w:val="center"/>
            <w:hideMark/>
          </w:tcPr>
          <w:p w14:paraId="7447FDB0"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5</w:t>
            </w:r>
          </w:p>
        </w:tc>
        <w:tc>
          <w:tcPr>
            <w:tcW w:w="670" w:type="pct"/>
            <w:shd w:val="clear" w:color="auto" w:fill="auto"/>
            <w:vAlign w:val="center"/>
            <w:hideMark/>
          </w:tcPr>
          <w:p w14:paraId="08DC4326"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9</w:t>
            </w:r>
          </w:p>
        </w:tc>
      </w:tr>
      <w:tr w:rsidR="00500BC6" w:rsidRPr="004A782C" w14:paraId="55D70129" w14:textId="77777777" w:rsidTr="009D6757">
        <w:trPr>
          <w:trHeight w:val="161"/>
        </w:trPr>
        <w:tc>
          <w:tcPr>
            <w:tcW w:w="927" w:type="pct"/>
            <w:shd w:val="clear" w:color="auto" w:fill="auto"/>
            <w:vAlign w:val="center"/>
            <w:hideMark/>
          </w:tcPr>
          <w:p w14:paraId="3CA756C2"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ATMHP Total</w:t>
            </w:r>
          </w:p>
        </w:tc>
        <w:tc>
          <w:tcPr>
            <w:tcW w:w="1239" w:type="pct"/>
            <w:shd w:val="clear" w:color="auto" w:fill="auto"/>
            <w:vAlign w:val="center"/>
            <w:hideMark/>
          </w:tcPr>
          <w:p w14:paraId="7AB822F8"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34.40 (19.79)</w:t>
            </w:r>
          </w:p>
        </w:tc>
        <w:tc>
          <w:tcPr>
            <w:tcW w:w="778" w:type="pct"/>
            <w:shd w:val="clear" w:color="auto" w:fill="auto"/>
            <w:vAlign w:val="center"/>
            <w:hideMark/>
          </w:tcPr>
          <w:p w14:paraId="052283C7"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0-84</w:t>
            </w:r>
          </w:p>
        </w:tc>
        <w:tc>
          <w:tcPr>
            <w:tcW w:w="714" w:type="pct"/>
            <w:shd w:val="clear" w:color="auto" w:fill="auto"/>
            <w:vAlign w:val="center"/>
            <w:hideMark/>
          </w:tcPr>
          <w:p w14:paraId="18260A30"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20</w:t>
            </w:r>
          </w:p>
        </w:tc>
        <w:tc>
          <w:tcPr>
            <w:tcW w:w="672" w:type="pct"/>
            <w:shd w:val="clear" w:color="auto" w:fill="auto"/>
            <w:vAlign w:val="center"/>
            <w:hideMark/>
          </w:tcPr>
          <w:p w14:paraId="0661A351"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30</w:t>
            </w:r>
          </w:p>
        </w:tc>
        <w:tc>
          <w:tcPr>
            <w:tcW w:w="670" w:type="pct"/>
            <w:shd w:val="clear" w:color="auto" w:fill="auto"/>
            <w:vAlign w:val="center"/>
            <w:hideMark/>
          </w:tcPr>
          <w:p w14:paraId="6AC2FFAA" w14:textId="77777777" w:rsidR="00500BC6" w:rsidRPr="004A782C" w:rsidRDefault="00500BC6" w:rsidP="00B27EBA">
            <w:pPr>
              <w:spacing w:after="0"/>
              <w:contextualSpacing/>
              <w:jc w:val="both"/>
              <w:rPr>
                <w:rFonts w:eastAsia="Times New Roman"/>
                <w:color w:val="000000"/>
                <w:lang w:bidi="ne-NP"/>
              </w:rPr>
            </w:pPr>
            <w:r w:rsidRPr="004A782C">
              <w:rPr>
                <w:rFonts w:eastAsia="Times New Roman"/>
                <w:color w:val="000000"/>
                <w:lang w:bidi="ne-NP"/>
              </w:rPr>
              <w:t>50</w:t>
            </w:r>
          </w:p>
        </w:tc>
      </w:tr>
    </w:tbl>
    <w:p w14:paraId="424E28D3" w14:textId="77A88423" w:rsidR="00500BC6" w:rsidRPr="004A782C" w:rsidRDefault="00500BC6" w:rsidP="00B27EBA">
      <w:pPr>
        <w:spacing w:after="0"/>
        <w:contextualSpacing/>
        <w:jc w:val="both"/>
        <w:rPr>
          <w:rFonts w:eastAsia="Times New Roman"/>
          <w:lang w:bidi="ne-NP"/>
        </w:rPr>
      </w:pPr>
      <w:r w:rsidRPr="004A782C">
        <w:rPr>
          <w:lang w:bidi="ne-NP"/>
        </w:rPr>
        <w:t>Note: ATMHP refers to attitudes towards mental health problems, ES refers to external shame, IS refers to internal shame, RS1 refers to reflected shame 1 and RS2 refers to reflected shame</w:t>
      </w:r>
      <w:r w:rsidRPr="004A782C">
        <w:rPr>
          <w:rFonts w:eastAsia="Times New Roman"/>
          <w:lang w:bidi="ne-NP"/>
        </w:rPr>
        <w:t>.</w:t>
      </w:r>
    </w:p>
    <w:p w14:paraId="5047D2E7" w14:textId="77777777" w:rsidR="00EF4CA3" w:rsidRDefault="00EF4CA3" w:rsidP="00B27EBA">
      <w:pPr>
        <w:spacing w:after="0"/>
        <w:contextualSpacing/>
        <w:jc w:val="both"/>
        <w:rPr>
          <w:rFonts w:eastAsia="Times New Roman"/>
          <w:b/>
          <w:bCs/>
          <w:lang w:bidi="ne-NP"/>
        </w:rPr>
      </w:pPr>
    </w:p>
    <w:p w14:paraId="4C18C3C1" w14:textId="1EDCF73B" w:rsidR="00C344CD" w:rsidRPr="004A782C" w:rsidRDefault="00EF4CA3" w:rsidP="00B27EBA">
      <w:pPr>
        <w:spacing w:after="0"/>
        <w:contextualSpacing/>
        <w:jc w:val="both"/>
        <w:rPr>
          <w:rFonts w:eastAsia="Times New Roman"/>
          <w:b/>
          <w:bCs/>
          <w:lang w:bidi="ne-NP"/>
        </w:rPr>
      </w:pPr>
      <w:r>
        <w:rPr>
          <w:rFonts w:eastAsia="Times New Roman"/>
          <w:b/>
          <w:bCs/>
          <w:lang w:bidi="ne-NP"/>
        </w:rPr>
        <w:t xml:space="preserve">4.2 </w:t>
      </w:r>
      <w:r w:rsidR="0089519F" w:rsidRPr="004A782C">
        <w:rPr>
          <w:rFonts w:eastAsia="Times New Roman"/>
          <w:b/>
          <w:bCs/>
          <w:lang w:bidi="ne-NP"/>
        </w:rPr>
        <w:t xml:space="preserve">Relationship between </w:t>
      </w:r>
      <w:r w:rsidR="0099475C" w:rsidRPr="004A782C">
        <w:rPr>
          <w:b/>
          <w:bCs/>
        </w:rPr>
        <w:t>ATMHP</w:t>
      </w:r>
      <w:bookmarkStart w:id="5" w:name="_Toc101805967"/>
      <w:bookmarkStart w:id="6" w:name="_Toc100257850"/>
      <w:bookmarkEnd w:id="3"/>
      <w:r w:rsidR="004E715E" w:rsidRPr="004A782C">
        <w:rPr>
          <w:rFonts w:eastAsia="Times New Roman"/>
          <w:b/>
          <w:bCs/>
          <w:lang w:bidi="ne-NP"/>
        </w:rPr>
        <w:t xml:space="preserve"> and Demographic Variables</w:t>
      </w:r>
    </w:p>
    <w:p w14:paraId="7F7DEB57" w14:textId="649C2968" w:rsidR="0099475C" w:rsidRPr="004A782C" w:rsidRDefault="00180A05" w:rsidP="00B27EBA">
      <w:pPr>
        <w:spacing w:after="0"/>
        <w:ind w:firstLine="720"/>
        <w:contextualSpacing/>
        <w:jc w:val="both"/>
        <w:rPr>
          <w:b/>
          <w:bCs/>
          <w:color w:val="FF0000"/>
        </w:rPr>
      </w:pPr>
      <w:bookmarkStart w:id="7" w:name="_Hlk91947328"/>
      <w:bookmarkEnd w:id="4"/>
      <w:bookmarkEnd w:id="5"/>
      <w:bookmarkEnd w:id="6"/>
      <w:r w:rsidRPr="004A782C">
        <w:rPr>
          <w:rFonts w:eastAsia="Times New Roman"/>
          <w:color w:val="000000" w:themeColor="text1"/>
          <w:lang w:bidi="ne-NP"/>
        </w:rPr>
        <w:t>In this study, both males and females exhibited unfavorable attitudes towards mental health problems</w:t>
      </w:r>
      <w:r w:rsidR="00A202AD" w:rsidRPr="004A782C">
        <w:rPr>
          <w:rFonts w:eastAsia="Times New Roman"/>
          <w:color w:val="000000" w:themeColor="text1"/>
          <w:lang w:bidi="ne-NP"/>
        </w:rPr>
        <w:t>; however,</w:t>
      </w:r>
      <w:r w:rsidR="002019C4" w:rsidRPr="004A782C">
        <w:rPr>
          <w:rFonts w:eastAsia="Times New Roman"/>
          <w:color w:val="000000" w:themeColor="text1"/>
          <w:lang w:bidi="ne-NP"/>
        </w:rPr>
        <w:t xml:space="preserve"> </w:t>
      </w:r>
      <w:r w:rsidR="000974E3" w:rsidRPr="004A782C">
        <w:rPr>
          <w:rFonts w:eastAsia="Times New Roman"/>
          <w:color w:val="000000" w:themeColor="text1"/>
          <w:lang w:bidi="ne-NP"/>
        </w:rPr>
        <w:t xml:space="preserve">a </w:t>
      </w:r>
      <w:r w:rsidR="0099475C" w:rsidRPr="004A782C">
        <w:rPr>
          <w:rFonts w:eastAsia="Times New Roman"/>
          <w:color w:val="000000" w:themeColor="text1"/>
          <w:lang w:bidi="ne-NP"/>
        </w:rPr>
        <w:t xml:space="preserve">non-significant </w:t>
      </w:r>
      <w:r w:rsidR="002019C4" w:rsidRPr="004A782C">
        <w:rPr>
          <w:rFonts w:eastAsia="Times New Roman"/>
          <w:color w:val="000000" w:themeColor="text1"/>
          <w:lang w:bidi="ne-NP"/>
        </w:rPr>
        <w:t xml:space="preserve">difference </w:t>
      </w:r>
      <w:r w:rsidR="00A202AD" w:rsidRPr="004A782C">
        <w:rPr>
          <w:rFonts w:eastAsia="Times New Roman"/>
          <w:color w:val="000000" w:themeColor="text1"/>
          <w:lang w:bidi="ne-NP"/>
        </w:rPr>
        <w:t>between these two genders was found</w:t>
      </w:r>
      <w:r w:rsidR="0099475C" w:rsidRPr="004A782C">
        <w:rPr>
          <w:rFonts w:eastAsia="Times New Roman"/>
          <w:color w:val="000000" w:themeColor="text1"/>
          <w:lang w:bidi="ne-NP"/>
        </w:rPr>
        <w:t xml:space="preserve"> </w:t>
      </w:r>
      <w:r w:rsidR="00517C87" w:rsidRPr="004A782C">
        <w:rPr>
          <w:rFonts w:eastAsia="Times New Roman"/>
          <w:color w:val="000000" w:themeColor="text1"/>
          <w:lang w:bidi="ne-NP"/>
        </w:rPr>
        <w:t xml:space="preserve">in the level of </w:t>
      </w:r>
      <w:r w:rsidR="0099475C" w:rsidRPr="004A782C">
        <w:rPr>
          <w:color w:val="000000" w:themeColor="text1"/>
        </w:rPr>
        <w:t>ATMHP</w:t>
      </w:r>
      <w:r w:rsidR="00A202AD" w:rsidRPr="004A782C">
        <w:rPr>
          <w:color w:val="000000" w:themeColor="text1"/>
        </w:rPr>
        <w:t>, including its dimensions</w:t>
      </w:r>
      <w:bookmarkStart w:id="8" w:name="_Toc109485394"/>
      <w:bookmarkStart w:id="9" w:name="_Toc101805970"/>
      <w:bookmarkStart w:id="10" w:name="_Toc106895034"/>
      <w:bookmarkStart w:id="11" w:name="_Toc100257853"/>
      <w:bookmarkEnd w:id="7"/>
      <w:r w:rsidR="00903793" w:rsidRPr="004A782C">
        <w:t xml:space="preserve"> </w:t>
      </w:r>
      <w:r w:rsidR="00903793" w:rsidRPr="004A782C">
        <w:rPr>
          <w:color w:val="000000" w:themeColor="text1"/>
        </w:rPr>
        <w:t>(</w:t>
      </w:r>
      <w:bookmarkStart w:id="12" w:name="_Hlk91947231"/>
      <w:bookmarkStart w:id="13" w:name="_Toc128069800"/>
      <w:r w:rsidR="00D73ABC" w:rsidRPr="004A782C">
        <w:rPr>
          <w:color w:val="000000" w:themeColor="text1"/>
        </w:rPr>
        <w:t>Table 3</w:t>
      </w:r>
      <w:r w:rsidR="00903793" w:rsidRPr="004A782C">
        <w:rPr>
          <w:color w:val="000000" w:themeColor="text1"/>
        </w:rPr>
        <w:t>)</w:t>
      </w:r>
      <w:bookmarkEnd w:id="12"/>
      <w:bookmarkEnd w:id="13"/>
      <w:r w:rsidR="0062282A" w:rsidRPr="004A782C">
        <w:rPr>
          <w:color w:val="000000" w:themeColor="text1"/>
        </w:rPr>
        <w:t>.</w:t>
      </w:r>
      <w:r w:rsidR="0062282A" w:rsidRPr="004A782C">
        <w:rPr>
          <w:b/>
          <w:bCs/>
          <w:color w:val="000000" w:themeColor="text1"/>
        </w:rPr>
        <w:t xml:space="preserve"> </w:t>
      </w:r>
    </w:p>
    <w:p w14:paraId="4D57764C" w14:textId="77777777" w:rsidR="00EF4CA3" w:rsidRDefault="00EF4CA3" w:rsidP="00B27EBA">
      <w:pPr>
        <w:spacing w:after="0"/>
        <w:contextualSpacing/>
        <w:jc w:val="both"/>
        <w:rPr>
          <w:rFonts w:eastAsia="Times New Roman"/>
          <w:b/>
          <w:color w:val="000000" w:themeColor="text1"/>
          <w:lang w:bidi="ne-NP"/>
        </w:rPr>
      </w:pPr>
    </w:p>
    <w:p w14:paraId="38ECEE5D" w14:textId="1E055340" w:rsidR="00C64C95" w:rsidRPr="00EF4CA3" w:rsidRDefault="00D73ABC" w:rsidP="00B27EBA">
      <w:pPr>
        <w:spacing w:after="0"/>
        <w:contextualSpacing/>
        <w:jc w:val="both"/>
        <w:rPr>
          <w:rFonts w:eastAsia="Times New Roman"/>
          <w:b/>
          <w:i/>
          <w:iCs/>
          <w:color w:val="FF0000"/>
          <w:lang w:bidi="ne-NP"/>
        </w:rPr>
      </w:pPr>
      <w:r w:rsidRPr="004A782C">
        <w:rPr>
          <w:rFonts w:eastAsia="Times New Roman"/>
          <w:b/>
          <w:color w:val="000000" w:themeColor="text1"/>
          <w:lang w:bidi="ne-NP"/>
        </w:rPr>
        <w:t xml:space="preserve">Table 3: </w:t>
      </w:r>
      <w:r w:rsidR="00C64C95" w:rsidRPr="00EF4CA3">
        <w:rPr>
          <w:i/>
          <w:iCs/>
          <w:color w:val="000000" w:themeColor="text1"/>
        </w:rPr>
        <w:t xml:space="preserve">Descriptive and Inferential Statistics (Welch's t- test) for different demographic variables </w:t>
      </w:r>
    </w:p>
    <w:tbl>
      <w:tblPr>
        <w:tblW w:w="8765" w:type="dxa"/>
        <w:tblBorders>
          <w:top w:val="single" w:sz="4" w:space="0" w:color="auto"/>
          <w:bottom w:val="single" w:sz="4" w:space="0" w:color="auto"/>
        </w:tblBorders>
        <w:tblLayout w:type="fixed"/>
        <w:tblLook w:val="04A0" w:firstRow="1" w:lastRow="0" w:firstColumn="1" w:lastColumn="0" w:noHBand="0" w:noVBand="1"/>
      </w:tblPr>
      <w:tblGrid>
        <w:gridCol w:w="2326"/>
        <w:gridCol w:w="2184"/>
        <w:gridCol w:w="821"/>
        <w:gridCol w:w="820"/>
        <w:gridCol w:w="821"/>
        <w:gridCol w:w="957"/>
        <w:gridCol w:w="836"/>
      </w:tblGrid>
      <w:tr w:rsidR="00C64C95" w:rsidRPr="004A782C" w14:paraId="48DEF043" w14:textId="77777777" w:rsidTr="00EE3BE0">
        <w:trPr>
          <w:trHeight w:val="323"/>
          <w:tblHeader/>
        </w:trPr>
        <w:tc>
          <w:tcPr>
            <w:tcW w:w="2326" w:type="dxa"/>
            <w:tcBorders>
              <w:top w:val="single" w:sz="4" w:space="0" w:color="auto"/>
              <w:bottom w:val="single" w:sz="4" w:space="0" w:color="auto"/>
            </w:tcBorders>
            <w:shd w:val="clear" w:color="auto" w:fill="auto"/>
            <w:vAlign w:val="center"/>
            <w:hideMark/>
          </w:tcPr>
          <w:p w14:paraId="748136EE"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Categories</w:t>
            </w:r>
          </w:p>
        </w:tc>
        <w:tc>
          <w:tcPr>
            <w:tcW w:w="2184" w:type="dxa"/>
            <w:tcBorders>
              <w:top w:val="single" w:sz="4" w:space="0" w:color="auto"/>
              <w:bottom w:val="single" w:sz="4" w:space="0" w:color="auto"/>
            </w:tcBorders>
            <w:shd w:val="clear" w:color="auto" w:fill="auto"/>
            <w:vAlign w:val="center"/>
            <w:hideMark/>
          </w:tcPr>
          <w:p w14:paraId="1C253DCD"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Group</w:t>
            </w:r>
          </w:p>
        </w:tc>
        <w:tc>
          <w:tcPr>
            <w:tcW w:w="821" w:type="dxa"/>
            <w:tcBorders>
              <w:top w:val="single" w:sz="4" w:space="0" w:color="auto"/>
              <w:bottom w:val="single" w:sz="4" w:space="0" w:color="auto"/>
            </w:tcBorders>
            <w:shd w:val="clear" w:color="auto" w:fill="auto"/>
            <w:vAlign w:val="center"/>
            <w:hideMark/>
          </w:tcPr>
          <w:p w14:paraId="5BC0A655"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Mean</w:t>
            </w:r>
          </w:p>
        </w:tc>
        <w:tc>
          <w:tcPr>
            <w:tcW w:w="820" w:type="dxa"/>
            <w:tcBorders>
              <w:top w:val="single" w:sz="4" w:space="0" w:color="auto"/>
              <w:bottom w:val="single" w:sz="4" w:space="0" w:color="auto"/>
            </w:tcBorders>
            <w:shd w:val="clear" w:color="auto" w:fill="auto"/>
            <w:vAlign w:val="center"/>
            <w:hideMark/>
          </w:tcPr>
          <w:p w14:paraId="08B9E1F3"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SD</w:t>
            </w:r>
          </w:p>
        </w:tc>
        <w:tc>
          <w:tcPr>
            <w:tcW w:w="821" w:type="dxa"/>
            <w:tcBorders>
              <w:top w:val="single" w:sz="4" w:space="0" w:color="auto"/>
              <w:bottom w:val="single" w:sz="4" w:space="0" w:color="auto"/>
            </w:tcBorders>
            <w:shd w:val="clear" w:color="auto" w:fill="auto"/>
            <w:vAlign w:val="center"/>
            <w:hideMark/>
          </w:tcPr>
          <w:p w14:paraId="5E1DDD4D" w14:textId="77777777" w:rsidR="00C64C95" w:rsidRPr="004A782C" w:rsidRDefault="00C64C95" w:rsidP="00B27EBA">
            <w:pPr>
              <w:spacing w:after="0"/>
              <w:contextualSpacing/>
              <w:jc w:val="both"/>
              <w:rPr>
                <w:rFonts w:eastAsia="Times New Roman"/>
                <w:i/>
                <w:iCs/>
                <w:color w:val="000000" w:themeColor="text1"/>
                <w:lang w:bidi="ne-NP"/>
              </w:rPr>
            </w:pPr>
            <w:r w:rsidRPr="004A782C">
              <w:rPr>
                <w:rFonts w:eastAsia="Times New Roman"/>
                <w:i/>
                <w:iCs/>
                <w:color w:val="000000" w:themeColor="text1"/>
                <w:lang w:bidi="ne-NP"/>
              </w:rPr>
              <w:t>t</w:t>
            </w:r>
          </w:p>
        </w:tc>
        <w:tc>
          <w:tcPr>
            <w:tcW w:w="957" w:type="dxa"/>
            <w:tcBorders>
              <w:top w:val="single" w:sz="4" w:space="0" w:color="auto"/>
              <w:bottom w:val="single" w:sz="4" w:space="0" w:color="auto"/>
            </w:tcBorders>
            <w:shd w:val="clear" w:color="auto" w:fill="auto"/>
            <w:vAlign w:val="center"/>
            <w:hideMark/>
          </w:tcPr>
          <w:p w14:paraId="3ABFAB64" w14:textId="77777777" w:rsidR="00C64C95" w:rsidRPr="004A782C" w:rsidRDefault="00C64C95" w:rsidP="00B27EBA">
            <w:pPr>
              <w:spacing w:after="0"/>
              <w:contextualSpacing/>
              <w:jc w:val="both"/>
              <w:rPr>
                <w:rFonts w:eastAsia="Times New Roman"/>
                <w:i/>
                <w:iCs/>
                <w:color w:val="000000" w:themeColor="text1"/>
                <w:lang w:bidi="ne-NP"/>
              </w:rPr>
            </w:pPr>
            <w:r w:rsidRPr="004A782C">
              <w:rPr>
                <w:rFonts w:eastAsia="Times New Roman"/>
                <w:i/>
                <w:iCs/>
                <w:color w:val="000000" w:themeColor="text1"/>
                <w:lang w:bidi="ne-NP"/>
              </w:rPr>
              <w:t>df</w:t>
            </w:r>
          </w:p>
        </w:tc>
        <w:tc>
          <w:tcPr>
            <w:tcW w:w="836" w:type="dxa"/>
            <w:tcBorders>
              <w:top w:val="single" w:sz="4" w:space="0" w:color="auto"/>
              <w:bottom w:val="single" w:sz="4" w:space="0" w:color="auto"/>
            </w:tcBorders>
            <w:shd w:val="clear" w:color="auto" w:fill="auto"/>
            <w:vAlign w:val="center"/>
            <w:hideMark/>
          </w:tcPr>
          <w:p w14:paraId="661EDBB1" w14:textId="77777777" w:rsidR="00C64C95" w:rsidRPr="004A782C" w:rsidRDefault="00C64C95" w:rsidP="00B27EBA">
            <w:pPr>
              <w:spacing w:after="0"/>
              <w:contextualSpacing/>
              <w:jc w:val="both"/>
              <w:rPr>
                <w:rFonts w:eastAsia="Times New Roman"/>
                <w:i/>
                <w:iCs/>
                <w:color w:val="000000" w:themeColor="text1"/>
                <w:lang w:bidi="ne-NP"/>
              </w:rPr>
            </w:pPr>
            <w:r w:rsidRPr="004A782C">
              <w:rPr>
                <w:rFonts w:eastAsia="Times New Roman"/>
                <w:i/>
                <w:iCs/>
                <w:color w:val="000000" w:themeColor="text1"/>
                <w:lang w:bidi="ne-NP"/>
              </w:rPr>
              <w:t>p</w:t>
            </w:r>
          </w:p>
        </w:tc>
      </w:tr>
      <w:tr w:rsidR="00C64C95" w:rsidRPr="004A782C" w14:paraId="39681880" w14:textId="77777777" w:rsidTr="00EE3BE0">
        <w:trPr>
          <w:trHeight w:val="164"/>
        </w:trPr>
        <w:tc>
          <w:tcPr>
            <w:tcW w:w="8765" w:type="dxa"/>
            <w:gridSpan w:val="7"/>
            <w:tcBorders>
              <w:top w:val="single" w:sz="4" w:space="0" w:color="auto"/>
              <w:bottom w:val="single" w:sz="4" w:space="0" w:color="auto"/>
            </w:tcBorders>
            <w:shd w:val="clear" w:color="auto" w:fill="auto"/>
            <w:vAlign w:val="center"/>
          </w:tcPr>
          <w:p w14:paraId="2BB427D0"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Gender</w:t>
            </w:r>
            <w:r w:rsidRPr="004A782C">
              <w:rPr>
                <w:rFonts w:eastAsia="Times New Roman"/>
                <w:i/>
                <w:iCs/>
                <w:color w:val="000000" w:themeColor="text1"/>
                <w:lang w:bidi="ne-NP"/>
              </w:rPr>
              <w:t>s</w:t>
            </w:r>
            <w:r w:rsidRPr="004A782C">
              <w:rPr>
                <w:rFonts w:eastAsia="Times New Roman"/>
                <w:color w:val="000000" w:themeColor="text1"/>
                <w:lang w:bidi="ne-NP"/>
              </w:rPr>
              <w:t xml:space="preserve"> [female (</w:t>
            </w:r>
            <w:r w:rsidRPr="004A782C">
              <w:rPr>
                <w:rFonts w:eastAsia="Times New Roman"/>
                <w:i/>
                <w:iCs/>
                <w:color w:val="000000" w:themeColor="text1"/>
                <w:lang w:bidi="ne-NP"/>
              </w:rPr>
              <w:t>N</w:t>
            </w:r>
            <w:r w:rsidRPr="004A782C">
              <w:rPr>
                <w:rFonts w:eastAsia="Times New Roman"/>
                <w:color w:val="000000" w:themeColor="text1"/>
                <w:lang w:bidi="ne-NP"/>
              </w:rPr>
              <w:t xml:space="preserve"> = 210), Male (</w:t>
            </w:r>
            <w:r w:rsidRPr="004A782C">
              <w:rPr>
                <w:rFonts w:eastAsia="Times New Roman"/>
                <w:i/>
                <w:iCs/>
                <w:color w:val="000000" w:themeColor="text1"/>
                <w:lang w:bidi="ne-NP"/>
              </w:rPr>
              <w:t>N</w:t>
            </w:r>
            <w:r w:rsidRPr="004A782C">
              <w:rPr>
                <w:rFonts w:eastAsia="Times New Roman"/>
                <w:color w:val="000000" w:themeColor="text1"/>
                <w:lang w:bidi="ne-NP"/>
              </w:rPr>
              <w:t xml:space="preserve"> = 136)]</w:t>
            </w:r>
          </w:p>
        </w:tc>
      </w:tr>
      <w:tr w:rsidR="00C64C95" w:rsidRPr="004A782C" w14:paraId="6274C3B1" w14:textId="77777777" w:rsidTr="00EE3BE0">
        <w:trPr>
          <w:trHeight w:val="290"/>
        </w:trPr>
        <w:tc>
          <w:tcPr>
            <w:tcW w:w="2326" w:type="dxa"/>
            <w:tcBorders>
              <w:top w:val="single" w:sz="4" w:space="0" w:color="auto"/>
            </w:tcBorders>
            <w:shd w:val="clear" w:color="auto" w:fill="auto"/>
            <w:vAlign w:val="center"/>
            <w:hideMark/>
          </w:tcPr>
          <w:p w14:paraId="6980BA58" w14:textId="567506BF"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ATMHP</w:t>
            </w:r>
            <w:r w:rsidR="00C92EDD" w:rsidRPr="004A782C">
              <w:rPr>
                <w:rFonts w:eastAsia="Times New Roman"/>
                <w:color w:val="000000" w:themeColor="text1"/>
                <w:lang w:bidi="ne-NP"/>
              </w:rPr>
              <w:t xml:space="preserve"> </w:t>
            </w:r>
            <w:r w:rsidR="00C92EDD" w:rsidRPr="004A782C">
              <w:rPr>
                <w:rFonts w:eastAsia="Times New Roman"/>
                <w:color w:val="000000"/>
                <w:lang w:bidi="ne-NP"/>
              </w:rPr>
              <w:t>Factor</w:t>
            </w:r>
          </w:p>
        </w:tc>
        <w:tc>
          <w:tcPr>
            <w:tcW w:w="2184" w:type="dxa"/>
            <w:tcBorders>
              <w:top w:val="single" w:sz="4" w:space="0" w:color="auto"/>
            </w:tcBorders>
            <w:shd w:val="clear" w:color="auto" w:fill="auto"/>
            <w:vAlign w:val="center"/>
            <w:hideMark/>
          </w:tcPr>
          <w:p w14:paraId="0A79A5A1"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Female</w:t>
            </w:r>
          </w:p>
        </w:tc>
        <w:tc>
          <w:tcPr>
            <w:tcW w:w="821" w:type="dxa"/>
            <w:tcBorders>
              <w:top w:val="single" w:sz="4" w:space="0" w:color="auto"/>
            </w:tcBorders>
            <w:shd w:val="clear" w:color="auto" w:fill="auto"/>
            <w:vAlign w:val="center"/>
            <w:hideMark/>
          </w:tcPr>
          <w:p w14:paraId="77D3B4ED"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8.81</w:t>
            </w:r>
          </w:p>
        </w:tc>
        <w:tc>
          <w:tcPr>
            <w:tcW w:w="820" w:type="dxa"/>
            <w:tcBorders>
              <w:top w:val="single" w:sz="4" w:space="0" w:color="auto"/>
            </w:tcBorders>
            <w:shd w:val="clear" w:color="auto" w:fill="auto"/>
            <w:vAlign w:val="center"/>
            <w:hideMark/>
          </w:tcPr>
          <w:p w14:paraId="0FD0E515"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5.06</w:t>
            </w:r>
          </w:p>
        </w:tc>
        <w:tc>
          <w:tcPr>
            <w:tcW w:w="821" w:type="dxa"/>
            <w:tcBorders>
              <w:top w:val="single" w:sz="4" w:space="0" w:color="auto"/>
            </w:tcBorders>
            <w:shd w:val="clear" w:color="auto" w:fill="auto"/>
            <w:vAlign w:val="center"/>
            <w:hideMark/>
          </w:tcPr>
          <w:p w14:paraId="5BF10934"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-0.28</w:t>
            </w:r>
          </w:p>
        </w:tc>
        <w:tc>
          <w:tcPr>
            <w:tcW w:w="957" w:type="dxa"/>
            <w:tcBorders>
              <w:top w:val="single" w:sz="4" w:space="0" w:color="auto"/>
            </w:tcBorders>
            <w:shd w:val="clear" w:color="auto" w:fill="auto"/>
            <w:noWrap/>
            <w:vAlign w:val="center"/>
            <w:hideMark/>
          </w:tcPr>
          <w:p w14:paraId="48FB0108"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274.12</w:t>
            </w:r>
          </w:p>
        </w:tc>
        <w:tc>
          <w:tcPr>
            <w:tcW w:w="836" w:type="dxa"/>
            <w:tcBorders>
              <w:top w:val="single" w:sz="4" w:space="0" w:color="auto"/>
            </w:tcBorders>
            <w:shd w:val="clear" w:color="auto" w:fill="auto"/>
            <w:noWrap/>
            <w:vAlign w:val="center"/>
            <w:hideMark/>
          </w:tcPr>
          <w:p w14:paraId="60637462"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0.78</w:t>
            </w:r>
          </w:p>
        </w:tc>
      </w:tr>
      <w:tr w:rsidR="00C64C95" w:rsidRPr="004A782C" w14:paraId="0AD2CA73" w14:textId="77777777" w:rsidTr="00EE3BE0">
        <w:trPr>
          <w:trHeight w:val="290"/>
        </w:trPr>
        <w:tc>
          <w:tcPr>
            <w:tcW w:w="2326" w:type="dxa"/>
            <w:shd w:val="clear" w:color="auto" w:fill="auto"/>
            <w:vAlign w:val="center"/>
            <w:hideMark/>
          </w:tcPr>
          <w:p w14:paraId="34845350"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537D011F"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Male</w:t>
            </w:r>
          </w:p>
        </w:tc>
        <w:tc>
          <w:tcPr>
            <w:tcW w:w="821" w:type="dxa"/>
            <w:shd w:val="clear" w:color="auto" w:fill="auto"/>
            <w:vAlign w:val="center"/>
            <w:hideMark/>
          </w:tcPr>
          <w:p w14:paraId="7DA0F306"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8.98</w:t>
            </w:r>
          </w:p>
        </w:tc>
        <w:tc>
          <w:tcPr>
            <w:tcW w:w="820" w:type="dxa"/>
            <w:shd w:val="clear" w:color="auto" w:fill="auto"/>
            <w:vAlign w:val="center"/>
            <w:hideMark/>
          </w:tcPr>
          <w:p w14:paraId="22983B8C"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5.41</w:t>
            </w:r>
          </w:p>
        </w:tc>
        <w:tc>
          <w:tcPr>
            <w:tcW w:w="821" w:type="dxa"/>
            <w:shd w:val="clear" w:color="auto" w:fill="auto"/>
            <w:vAlign w:val="bottom"/>
            <w:hideMark/>
          </w:tcPr>
          <w:p w14:paraId="453121D5" w14:textId="77777777" w:rsidR="00C64C95" w:rsidRPr="004A782C" w:rsidRDefault="00C64C95" w:rsidP="00B27EBA">
            <w:pPr>
              <w:spacing w:after="0"/>
              <w:contextualSpacing/>
              <w:jc w:val="both"/>
              <w:rPr>
                <w:rFonts w:eastAsia="Times New Roman"/>
                <w:color w:val="000000" w:themeColor="text1"/>
                <w:lang w:bidi="ne-NP"/>
              </w:rPr>
            </w:pPr>
          </w:p>
        </w:tc>
        <w:tc>
          <w:tcPr>
            <w:tcW w:w="957" w:type="dxa"/>
            <w:shd w:val="clear" w:color="auto" w:fill="auto"/>
            <w:vAlign w:val="bottom"/>
            <w:hideMark/>
          </w:tcPr>
          <w:p w14:paraId="08EBB628" w14:textId="77777777" w:rsidR="00C64C95" w:rsidRPr="004A782C" w:rsidRDefault="00C64C95" w:rsidP="00B27EBA">
            <w:pPr>
              <w:spacing w:after="0"/>
              <w:contextualSpacing/>
              <w:jc w:val="both"/>
              <w:rPr>
                <w:rFonts w:eastAsia="Times New Roman"/>
                <w:color w:val="000000" w:themeColor="text1"/>
                <w:lang w:bidi="ne-NP"/>
              </w:rPr>
            </w:pPr>
          </w:p>
        </w:tc>
        <w:tc>
          <w:tcPr>
            <w:tcW w:w="836" w:type="dxa"/>
            <w:shd w:val="clear" w:color="auto" w:fill="auto"/>
            <w:vAlign w:val="bottom"/>
            <w:hideMark/>
          </w:tcPr>
          <w:p w14:paraId="55B7E4D6" w14:textId="77777777" w:rsidR="00C64C95" w:rsidRPr="004A782C" w:rsidRDefault="00C64C95" w:rsidP="00B27EBA">
            <w:pPr>
              <w:spacing w:after="0"/>
              <w:contextualSpacing/>
              <w:jc w:val="both"/>
              <w:rPr>
                <w:rFonts w:eastAsia="Times New Roman"/>
                <w:color w:val="000000" w:themeColor="text1"/>
                <w:lang w:bidi="ne-NP"/>
              </w:rPr>
            </w:pPr>
          </w:p>
        </w:tc>
      </w:tr>
      <w:tr w:rsidR="00C64C95" w:rsidRPr="004A782C" w14:paraId="00A621E5" w14:textId="77777777" w:rsidTr="00EE3BE0">
        <w:trPr>
          <w:trHeight w:val="290"/>
        </w:trPr>
        <w:tc>
          <w:tcPr>
            <w:tcW w:w="2326" w:type="dxa"/>
            <w:shd w:val="clear" w:color="auto" w:fill="auto"/>
            <w:vAlign w:val="center"/>
            <w:hideMark/>
          </w:tcPr>
          <w:p w14:paraId="53AD560C" w14:textId="7FCD49C8"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ES</w:t>
            </w:r>
            <w:r w:rsidR="00C92EDD" w:rsidRPr="004A782C">
              <w:rPr>
                <w:rFonts w:eastAsia="Times New Roman"/>
                <w:color w:val="000000" w:themeColor="text1"/>
                <w:lang w:bidi="ne-NP"/>
              </w:rPr>
              <w:t xml:space="preserve"> </w:t>
            </w:r>
            <w:r w:rsidR="00C92EDD" w:rsidRPr="004A782C">
              <w:rPr>
                <w:rFonts w:eastAsia="Times New Roman"/>
                <w:color w:val="000000"/>
                <w:lang w:bidi="ne-NP"/>
              </w:rPr>
              <w:t>Factor</w:t>
            </w:r>
          </w:p>
        </w:tc>
        <w:tc>
          <w:tcPr>
            <w:tcW w:w="2184" w:type="dxa"/>
            <w:shd w:val="clear" w:color="auto" w:fill="auto"/>
            <w:vAlign w:val="center"/>
            <w:hideMark/>
          </w:tcPr>
          <w:p w14:paraId="3BCAF402"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Female</w:t>
            </w:r>
          </w:p>
        </w:tc>
        <w:tc>
          <w:tcPr>
            <w:tcW w:w="821" w:type="dxa"/>
            <w:shd w:val="clear" w:color="auto" w:fill="auto"/>
            <w:vAlign w:val="center"/>
            <w:hideMark/>
          </w:tcPr>
          <w:p w14:paraId="73FFCEE9"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8.29</w:t>
            </w:r>
          </w:p>
        </w:tc>
        <w:tc>
          <w:tcPr>
            <w:tcW w:w="820" w:type="dxa"/>
            <w:shd w:val="clear" w:color="auto" w:fill="auto"/>
            <w:vAlign w:val="center"/>
            <w:hideMark/>
          </w:tcPr>
          <w:p w14:paraId="37B1A6D9"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6.63</w:t>
            </w:r>
          </w:p>
        </w:tc>
        <w:tc>
          <w:tcPr>
            <w:tcW w:w="821" w:type="dxa"/>
            <w:shd w:val="clear" w:color="auto" w:fill="auto"/>
            <w:vAlign w:val="center"/>
            <w:hideMark/>
          </w:tcPr>
          <w:p w14:paraId="355AA362"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0.00</w:t>
            </w:r>
          </w:p>
        </w:tc>
        <w:tc>
          <w:tcPr>
            <w:tcW w:w="957" w:type="dxa"/>
            <w:shd w:val="clear" w:color="auto" w:fill="auto"/>
            <w:noWrap/>
            <w:vAlign w:val="center"/>
            <w:hideMark/>
          </w:tcPr>
          <w:p w14:paraId="713AA431"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269.16</w:t>
            </w:r>
          </w:p>
        </w:tc>
        <w:tc>
          <w:tcPr>
            <w:tcW w:w="836" w:type="dxa"/>
            <w:shd w:val="clear" w:color="auto" w:fill="auto"/>
            <w:noWrap/>
            <w:vAlign w:val="center"/>
            <w:hideMark/>
          </w:tcPr>
          <w:p w14:paraId="71B9D17A"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1.00</w:t>
            </w:r>
          </w:p>
        </w:tc>
      </w:tr>
      <w:tr w:rsidR="00C64C95" w:rsidRPr="004A782C" w14:paraId="3F101F01" w14:textId="77777777" w:rsidTr="00EE3BE0">
        <w:trPr>
          <w:trHeight w:val="290"/>
        </w:trPr>
        <w:tc>
          <w:tcPr>
            <w:tcW w:w="2326" w:type="dxa"/>
            <w:shd w:val="clear" w:color="auto" w:fill="auto"/>
            <w:vAlign w:val="center"/>
            <w:hideMark/>
          </w:tcPr>
          <w:p w14:paraId="006F0950"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3EC5019A"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Male</w:t>
            </w:r>
          </w:p>
        </w:tc>
        <w:tc>
          <w:tcPr>
            <w:tcW w:w="821" w:type="dxa"/>
            <w:shd w:val="clear" w:color="auto" w:fill="auto"/>
            <w:vAlign w:val="center"/>
            <w:hideMark/>
          </w:tcPr>
          <w:p w14:paraId="26DB577C"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8.29</w:t>
            </w:r>
          </w:p>
        </w:tc>
        <w:tc>
          <w:tcPr>
            <w:tcW w:w="820" w:type="dxa"/>
            <w:shd w:val="clear" w:color="auto" w:fill="auto"/>
            <w:vAlign w:val="center"/>
            <w:hideMark/>
          </w:tcPr>
          <w:p w14:paraId="47B7F5CE"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7.27</w:t>
            </w:r>
          </w:p>
        </w:tc>
        <w:tc>
          <w:tcPr>
            <w:tcW w:w="821" w:type="dxa"/>
            <w:shd w:val="clear" w:color="auto" w:fill="auto"/>
            <w:vAlign w:val="bottom"/>
            <w:hideMark/>
          </w:tcPr>
          <w:p w14:paraId="775DBDCB" w14:textId="77777777" w:rsidR="00C64C95" w:rsidRPr="004A782C" w:rsidRDefault="00C64C95" w:rsidP="00B27EBA">
            <w:pPr>
              <w:spacing w:after="0"/>
              <w:contextualSpacing/>
              <w:jc w:val="both"/>
              <w:rPr>
                <w:rFonts w:eastAsia="Times New Roman"/>
                <w:color w:val="000000" w:themeColor="text1"/>
                <w:lang w:bidi="ne-NP"/>
              </w:rPr>
            </w:pPr>
          </w:p>
        </w:tc>
        <w:tc>
          <w:tcPr>
            <w:tcW w:w="957" w:type="dxa"/>
            <w:shd w:val="clear" w:color="auto" w:fill="auto"/>
            <w:vAlign w:val="bottom"/>
            <w:hideMark/>
          </w:tcPr>
          <w:p w14:paraId="62470C68" w14:textId="77777777" w:rsidR="00C64C95" w:rsidRPr="004A782C" w:rsidRDefault="00C64C95" w:rsidP="00B27EBA">
            <w:pPr>
              <w:spacing w:after="0"/>
              <w:contextualSpacing/>
              <w:jc w:val="both"/>
              <w:rPr>
                <w:rFonts w:eastAsia="Times New Roman"/>
                <w:color w:val="000000" w:themeColor="text1"/>
                <w:lang w:bidi="ne-NP"/>
              </w:rPr>
            </w:pPr>
          </w:p>
        </w:tc>
        <w:tc>
          <w:tcPr>
            <w:tcW w:w="836" w:type="dxa"/>
            <w:shd w:val="clear" w:color="auto" w:fill="auto"/>
            <w:vAlign w:val="bottom"/>
            <w:hideMark/>
          </w:tcPr>
          <w:p w14:paraId="5AB3CEC4" w14:textId="77777777" w:rsidR="00C64C95" w:rsidRPr="004A782C" w:rsidRDefault="00C64C95" w:rsidP="00B27EBA">
            <w:pPr>
              <w:spacing w:after="0"/>
              <w:contextualSpacing/>
              <w:jc w:val="both"/>
              <w:rPr>
                <w:rFonts w:eastAsia="Times New Roman"/>
                <w:color w:val="000000" w:themeColor="text1"/>
                <w:lang w:bidi="ne-NP"/>
              </w:rPr>
            </w:pPr>
          </w:p>
        </w:tc>
      </w:tr>
      <w:tr w:rsidR="00C64C95" w:rsidRPr="004A782C" w14:paraId="78F3B547" w14:textId="77777777" w:rsidTr="00EE3BE0">
        <w:trPr>
          <w:trHeight w:val="290"/>
        </w:trPr>
        <w:tc>
          <w:tcPr>
            <w:tcW w:w="2326" w:type="dxa"/>
            <w:shd w:val="clear" w:color="auto" w:fill="auto"/>
            <w:vAlign w:val="center"/>
            <w:hideMark/>
          </w:tcPr>
          <w:p w14:paraId="68822F1F" w14:textId="7F1E4A8B"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IS</w:t>
            </w:r>
            <w:r w:rsidR="00C92EDD" w:rsidRPr="004A782C">
              <w:rPr>
                <w:rFonts w:eastAsia="Times New Roman"/>
                <w:color w:val="000000" w:themeColor="text1"/>
                <w:lang w:bidi="ne-NP"/>
              </w:rPr>
              <w:t xml:space="preserve"> </w:t>
            </w:r>
            <w:r w:rsidR="00C92EDD" w:rsidRPr="004A782C">
              <w:rPr>
                <w:rFonts w:eastAsia="Times New Roman"/>
                <w:color w:val="000000"/>
                <w:lang w:bidi="ne-NP"/>
              </w:rPr>
              <w:t>Factor</w:t>
            </w:r>
          </w:p>
        </w:tc>
        <w:tc>
          <w:tcPr>
            <w:tcW w:w="2184" w:type="dxa"/>
            <w:shd w:val="clear" w:color="auto" w:fill="auto"/>
            <w:vAlign w:val="center"/>
            <w:hideMark/>
          </w:tcPr>
          <w:p w14:paraId="65569638"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Female</w:t>
            </w:r>
          </w:p>
        </w:tc>
        <w:tc>
          <w:tcPr>
            <w:tcW w:w="821" w:type="dxa"/>
            <w:shd w:val="clear" w:color="auto" w:fill="auto"/>
            <w:vAlign w:val="center"/>
            <w:hideMark/>
          </w:tcPr>
          <w:p w14:paraId="45CDDA01"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3.72</w:t>
            </w:r>
          </w:p>
        </w:tc>
        <w:tc>
          <w:tcPr>
            <w:tcW w:w="820" w:type="dxa"/>
            <w:shd w:val="clear" w:color="auto" w:fill="auto"/>
            <w:vAlign w:val="center"/>
            <w:hideMark/>
          </w:tcPr>
          <w:p w14:paraId="05313547"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3.60</w:t>
            </w:r>
          </w:p>
        </w:tc>
        <w:tc>
          <w:tcPr>
            <w:tcW w:w="821" w:type="dxa"/>
            <w:shd w:val="clear" w:color="auto" w:fill="auto"/>
            <w:vAlign w:val="center"/>
            <w:hideMark/>
          </w:tcPr>
          <w:p w14:paraId="4BD5A142"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-0.29</w:t>
            </w:r>
          </w:p>
        </w:tc>
        <w:tc>
          <w:tcPr>
            <w:tcW w:w="957" w:type="dxa"/>
            <w:shd w:val="clear" w:color="auto" w:fill="auto"/>
            <w:noWrap/>
            <w:vAlign w:val="center"/>
            <w:hideMark/>
          </w:tcPr>
          <w:p w14:paraId="5D985138"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275.27</w:t>
            </w:r>
          </w:p>
        </w:tc>
        <w:tc>
          <w:tcPr>
            <w:tcW w:w="836" w:type="dxa"/>
            <w:shd w:val="clear" w:color="auto" w:fill="auto"/>
            <w:noWrap/>
            <w:vAlign w:val="center"/>
            <w:hideMark/>
          </w:tcPr>
          <w:p w14:paraId="3770AEEE"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0.77</w:t>
            </w:r>
          </w:p>
        </w:tc>
      </w:tr>
      <w:tr w:rsidR="00C64C95" w:rsidRPr="004A782C" w14:paraId="570D82B3" w14:textId="77777777" w:rsidTr="00EE3BE0">
        <w:trPr>
          <w:trHeight w:val="290"/>
        </w:trPr>
        <w:tc>
          <w:tcPr>
            <w:tcW w:w="2326" w:type="dxa"/>
            <w:shd w:val="clear" w:color="auto" w:fill="auto"/>
            <w:vAlign w:val="center"/>
            <w:hideMark/>
          </w:tcPr>
          <w:p w14:paraId="387E564F"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61C1F5BB"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Male</w:t>
            </w:r>
          </w:p>
        </w:tc>
        <w:tc>
          <w:tcPr>
            <w:tcW w:w="821" w:type="dxa"/>
            <w:shd w:val="clear" w:color="auto" w:fill="auto"/>
            <w:vAlign w:val="center"/>
            <w:hideMark/>
          </w:tcPr>
          <w:p w14:paraId="68FCE963"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3.84</w:t>
            </w:r>
          </w:p>
        </w:tc>
        <w:tc>
          <w:tcPr>
            <w:tcW w:w="820" w:type="dxa"/>
            <w:shd w:val="clear" w:color="auto" w:fill="auto"/>
            <w:vAlign w:val="center"/>
            <w:hideMark/>
          </w:tcPr>
          <w:p w14:paraId="49926EBB"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3.83</w:t>
            </w:r>
          </w:p>
        </w:tc>
        <w:tc>
          <w:tcPr>
            <w:tcW w:w="821" w:type="dxa"/>
            <w:shd w:val="clear" w:color="auto" w:fill="auto"/>
            <w:vAlign w:val="bottom"/>
            <w:hideMark/>
          </w:tcPr>
          <w:p w14:paraId="11AEC7C4" w14:textId="77777777" w:rsidR="00C64C95" w:rsidRPr="004A782C" w:rsidRDefault="00C64C95" w:rsidP="00B27EBA">
            <w:pPr>
              <w:spacing w:after="0"/>
              <w:contextualSpacing/>
              <w:jc w:val="both"/>
              <w:rPr>
                <w:rFonts w:eastAsia="Times New Roman"/>
                <w:color w:val="000000" w:themeColor="text1"/>
                <w:lang w:bidi="ne-NP"/>
              </w:rPr>
            </w:pPr>
          </w:p>
        </w:tc>
        <w:tc>
          <w:tcPr>
            <w:tcW w:w="957" w:type="dxa"/>
            <w:shd w:val="clear" w:color="auto" w:fill="auto"/>
            <w:vAlign w:val="bottom"/>
            <w:hideMark/>
          </w:tcPr>
          <w:p w14:paraId="793256C8" w14:textId="77777777" w:rsidR="00C64C95" w:rsidRPr="004A782C" w:rsidRDefault="00C64C95" w:rsidP="00B27EBA">
            <w:pPr>
              <w:spacing w:after="0"/>
              <w:contextualSpacing/>
              <w:jc w:val="both"/>
              <w:rPr>
                <w:rFonts w:eastAsia="Times New Roman"/>
                <w:color w:val="000000" w:themeColor="text1"/>
                <w:lang w:bidi="ne-NP"/>
              </w:rPr>
            </w:pPr>
          </w:p>
        </w:tc>
        <w:tc>
          <w:tcPr>
            <w:tcW w:w="836" w:type="dxa"/>
            <w:shd w:val="clear" w:color="auto" w:fill="auto"/>
            <w:vAlign w:val="bottom"/>
            <w:hideMark/>
          </w:tcPr>
          <w:p w14:paraId="1B3839C9" w14:textId="77777777" w:rsidR="00C64C95" w:rsidRPr="004A782C" w:rsidRDefault="00C64C95" w:rsidP="00B27EBA">
            <w:pPr>
              <w:spacing w:after="0"/>
              <w:contextualSpacing/>
              <w:jc w:val="both"/>
              <w:rPr>
                <w:rFonts w:eastAsia="Times New Roman"/>
                <w:color w:val="000000" w:themeColor="text1"/>
                <w:lang w:bidi="ne-NP"/>
              </w:rPr>
            </w:pPr>
          </w:p>
        </w:tc>
      </w:tr>
      <w:tr w:rsidR="00C64C95" w:rsidRPr="004A782C" w14:paraId="7CCDB03B" w14:textId="77777777" w:rsidTr="00EE3BE0">
        <w:trPr>
          <w:trHeight w:val="290"/>
        </w:trPr>
        <w:tc>
          <w:tcPr>
            <w:tcW w:w="2326" w:type="dxa"/>
            <w:shd w:val="clear" w:color="auto" w:fill="auto"/>
            <w:vAlign w:val="center"/>
            <w:hideMark/>
          </w:tcPr>
          <w:p w14:paraId="3C5BED16" w14:textId="15D892DE"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RS1</w:t>
            </w:r>
            <w:r w:rsidR="00C92EDD" w:rsidRPr="004A782C">
              <w:rPr>
                <w:rFonts w:eastAsia="Times New Roman"/>
                <w:color w:val="000000" w:themeColor="text1"/>
                <w:lang w:bidi="ne-NP"/>
              </w:rPr>
              <w:t xml:space="preserve"> </w:t>
            </w:r>
            <w:r w:rsidR="00C92EDD" w:rsidRPr="004A782C">
              <w:rPr>
                <w:rFonts w:eastAsia="Times New Roman"/>
                <w:color w:val="000000"/>
                <w:lang w:bidi="ne-NP"/>
              </w:rPr>
              <w:t>Factor</w:t>
            </w:r>
          </w:p>
        </w:tc>
        <w:tc>
          <w:tcPr>
            <w:tcW w:w="2184" w:type="dxa"/>
            <w:shd w:val="clear" w:color="auto" w:fill="auto"/>
            <w:vAlign w:val="center"/>
            <w:hideMark/>
          </w:tcPr>
          <w:p w14:paraId="2DA33996"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Female</w:t>
            </w:r>
          </w:p>
        </w:tc>
        <w:tc>
          <w:tcPr>
            <w:tcW w:w="821" w:type="dxa"/>
            <w:shd w:val="clear" w:color="auto" w:fill="auto"/>
            <w:vAlign w:val="center"/>
            <w:hideMark/>
          </w:tcPr>
          <w:p w14:paraId="69E50C1A"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7.88</w:t>
            </w:r>
          </w:p>
        </w:tc>
        <w:tc>
          <w:tcPr>
            <w:tcW w:w="820" w:type="dxa"/>
            <w:shd w:val="clear" w:color="auto" w:fill="auto"/>
            <w:vAlign w:val="center"/>
            <w:hideMark/>
          </w:tcPr>
          <w:p w14:paraId="130E2EC5"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5.27</w:t>
            </w:r>
          </w:p>
        </w:tc>
        <w:tc>
          <w:tcPr>
            <w:tcW w:w="821" w:type="dxa"/>
            <w:shd w:val="clear" w:color="auto" w:fill="auto"/>
            <w:vAlign w:val="center"/>
            <w:hideMark/>
          </w:tcPr>
          <w:p w14:paraId="2224EF92"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-0.04</w:t>
            </w:r>
          </w:p>
        </w:tc>
        <w:tc>
          <w:tcPr>
            <w:tcW w:w="957" w:type="dxa"/>
            <w:shd w:val="clear" w:color="auto" w:fill="auto"/>
            <w:noWrap/>
            <w:vAlign w:val="center"/>
            <w:hideMark/>
          </w:tcPr>
          <w:p w14:paraId="7E0769C2"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284.17</w:t>
            </w:r>
          </w:p>
        </w:tc>
        <w:tc>
          <w:tcPr>
            <w:tcW w:w="836" w:type="dxa"/>
            <w:shd w:val="clear" w:color="auto" w:fill="auto"/>
            <w:noWrap/>
            <w:vAlign w:val="center"/>
            <w:hideMark/>
          </w:tcPr>
          <w:p w14:paraId="7D7140BE"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0.97</w:t>
            </w:r>
          </w:p>
        </w:tc>
      </w:tr>
      <w:tr w:rsidR="00C64C95" w:rsidRPr="004A782C" w14:paraId="0DDE2A26" w14:textId="77777777" w:rsidTr="00EE3BE0">
        <w:trPr>
          <w:trHeight w:val="290"/>
        </w:trPr>
        <w:tc>
          <w:tcPr>
            <w:tcW w:w="2326" w:type="dxa"/>
            <w:shd w:val="clear" w:color="auto" w:fill="auto"/>
            <w:vAlign w:val="center"/>
            <w:hideMark/>
          </w:tcPr>
          <w:p w14:paraId="79EEC755"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58620A7A"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Male</w:t>
            </w:r>
          </w:p>
        </w:tc>
        <w:tc>
          <w:tcPr>
            <w:tcW w:w="821" w:type="dxa"/>
            <w:shd w:val="clear" w:color="auto" w:fill="auto"/>
            <w:vAlign w:val="center"/>
            <w:hideMark/>
          </w:tcPr>
          <w:p w14:paraId="4438DB3D"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7.90</w:t>
            </w:r>
          </w:p>
        </w:tc>
        <w:tc>
          <w:tcPr>
            <w:tcW w:w="820" w:type="dxa"/>
            <w:shd w:val="clear" w:color="auto" w:fill="auto"/>
            <w:vAlign w:val="center"/>
            <w:hideMark/>
          </w:tcPr>
          <w:p w14:paraId="543F82BC"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5.37</w:t>
            </w:r>
          </w:p>
        </w:tc>
        <w:tc>
          <w:tcPr>
            <w:tcW w:w="821" w:type="dxa"/>
            <w:shd w:val="clear" w:color="auto" w:fill="auto"/>
            <w:vAlign w:val="bottom"/>
            <w:hideMark/>
          </w:tcPr>
          <w:p w14:paraId="23873C64" w14:textId="77777777" w:rsidR="00C64C95" w:rsidRPr="004A782C" w:rsidRDefault="00C64C95" w:rsidP="00B27EBA">
            <w:pPr>
              <w:spacing w:after="0"/>
              <w:contextualSpacing/>
              <w:jc w:val="both"/>
              <w:rPr>
                <w:rFonts w:eastAsia="Times New Roman"/>
                <w:color w:val="000000" w:themeColor="text1"/>
                <w:lang w:bidi="ne-NP"/>
              </w:rPr>
            </w:pPr>
          </w:p>
        </w:tc>
        <w:tc>
          <w:tcPr>
            <w:tcW w:w="957" w:type="dxa"/>
            <w:shd w:val="clear" w:color="auto" w:fill="auto"/>
            <w:vAlign w:val="bottom"/>
            <w:hideMark/>
          </w:tcPr>
          <w:p w14:paraId="162496DB" w14:textId="77777777" w:rsidR="00C64C95" w:rsidRPr="004A782C" w:rsidRDefault="00C64C95" w:rsidP="00B27EBA">
            <w:pPr>
              <w:spacing w:after="0"/>
              <w:contextualSpacing/>
              <w:jc w:val="both"/>
              <w:rPr>
                <w:rFonts w:eastAsia="Times New Roman"/>
                <w:color w:val="000000" w:themeColor="text1"/>
                <w:lang w:bidi="ne-NP"/>
              </w:rPr>
            </w:pPr>
          </w:p>
        </w:tc>
        <w:tc>
          <w:tcPr>
            <w:tcW w:w="836" w:type="dxa"/>
            <w:shd w:val="clear" w:color="auto" w:fill="auto"/>
            <w:vAlign w:val="bottom"/>
            <w:hideMark/>
          </w:tcPr>
          <w:p w14:paraId="14BC10D3" w14:textId="77777777" w:rsidR="00C64C95" w:rsidRPr="004A782C" w:rsidRDefault="00C64C95" w:rsidP="00B27EBA">
            <w:pPr>
              <w:spacing w:after="0"/>
              <w:contextualSpacing/>
              <w:jc w:val="both"/>
              <w:rPr>
                <w:rFonts w:eastAsia="Times New Roman"/>
                <w:color w:val="000000" w:themeColor="text1"/>
                <w:lang w:bidi="ne-NP"/>
              </w:rPr>
            </w:pPr>
          </w:p>
        </w:tc>
      </w:tr>
      <w:tr w:rsidR="00C64C95" w:rsidRPr="004A782C" w14:paraId="2577F6EB" w14:textId="77777777" w:rsidTr="00EE3BE0">
        <w:trPr>
          <w:trHeight w:val="290"/>
        </w:trPr>
        <w:tc>
          <w:tcPr>
            <w:tcW w:w="2326" w:type="dxa"/>
            <w:shd w:val="clear" w:color="auto" w:fill="auto"/>
            <w:vAlign w:val="center"/>
            <w:hideMark/>
          </w:tcPr>
          <w:p w14:paraId="1F03AFD3" w14:textId="55615E6E"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RS2 </w:t>
            </w:r>
            <w:r w:rsidR="00C92EDD" w:rsidRPr="004A782C">
              <w:rPr>
                <w:rFonts w:eastAsia="Times New Roman"/>
                <w:color w:val="000000"/>
                <w:lang w:bidi="ne-NP"/>
              </w:rPr>
              <w:t>Factor</w:t>
            </w:r>
          </w:p>
        </w:tc>
        <w:tc>
          <w:tcPr>
            <w:tcW w:w="2184" w:type="dxa"/>
            <w:shd w:val="clear" w:color="auto" w:fill="auto"/>
            <w:vAlign w:val="center"/>
            <w:hideMark/>
          </w:tcPr>
          <w:p w14:paraId="6B7CF815"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Female</w:t>
            </w:r>
          </w:p>
        </w:tc>
        <w:tc>
          <w:tcPr>
            <w:tcW w:w="821" w:type="dxa"/>
            <w:shd w:val="clear" w:color="auto" w:fill="auto"/>
            <w:vAlign w:val="center"/>
            <w:hideMark/>
          </w:tcPr>
          <w:p w14:paraId="344633F1"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5.73</w:t>
            </w:r>
          </w:p>
        </w:tc>
        <w:tc>
          <w:tcPr>
            <w:tcW w:w="820" w:type="dxa"/>
            <w:shd w:val="clear" w:color="auto" w:fill="auto"/>
            <w:vAlign w:val="center"/>
            <w:hideMark/>
          </w:tcPr>
          <w:p w14:paraId="04437733"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4.50</w:t>
            </w:r>
          </w:p>
        </w:tc>
        <w:tc>
          <w:tcPr>
            <w:tcW w:w="821" w:type="dxa"/>
            <w:shd w:val="clear" w:color="auto" w:fill="auto"/>
            <w:vAlign w:val="center"/>
            <w:hideMark/>
          </w:tcPr>
          <w:p w14:paraId="2B40A06B"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1.24</w:t>
            </w:r>
          </w:p>
        </w:tc>
        <w:tc>
          <w:tcPr>
            <w:tcW w:w="957" w:type="dxa"/>
            <w:shd w:val="clear" w:color="auto" w:fill="auto"/>
            <w:noWrap/>
            <w:vAlign w:val="center"/>
            <w:hideMark/>
          </w:tcPr>
          <w:p w14:paraId="6956E7E2"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281.93</w:t>
            </w:r>
          </w:p>
        </w:tc>
        <w:tc>
          <w:tcPr>
            <w:tcW w:w="836" w:type="dxa"/>
            <w:shd w:val="clear" w:color="auto" w:fill="auto"/>
            <w:noWrap/>
            <w:vAlign w:val="center"/>
            <w:hideMark/>
          </w:tcPr>
          <w:p w14:paraId="460AC016"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0.22</w:t>
            </w:r>
          </w:p>
        </w:tc>
      </w:tr>
      <w:tr w:rsidR="00C64C95" w:rsidRPr="004A782C" w14:paraId="69B48511" w14:textId="77777777" w:rsidTr="00EE3BE0">
        <w:trPr>
          <w:trHeight w:val="290"/>
        </w:trPr>
        <w:tc>
          <w:tcPr>
            <w:tcW w:w="2326" w:type="dxa"/>
            <w:shd w:val="clear" w:color="auto" w:fill="auto"/>
            <w:vAlign w:val="center"/>
            <w:hideMark/>
          </w:tcPr>
          <w:p w14:paraId="06485091"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1F479130"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Male</w:t>
            </w:r>
          </w:p>
        </w:tc>
        <w:tc>
          <w:tcPr>
            <w:tcW w:w="821" w:type="dxa"/>
            <w:shd w:val="clear" w:color="auto" w:fill="auto"/>
            <w:vAlign w:val="center"/>
            <w:hideMark/>
          </w:tcPr>
          <w:p w14:paraId="17998EFE"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5.11</w:t>
            </w:r>
          </w:p>
        </w:tc>
        <w:tc>
          <w:tcPr>
            <w:tcW w:w="820" w:type="dxa"/>
            <w:shd w:val="clear" w:color="auto" w:fill="auto"/>
            <w:vAlign w:val="center"/>
            <w:hideMark/>
          </w:tcPr>
          <w:p w14:paraId="790F74B8"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4.64</w:t>
            </w:r>
          </w:p>
        </w:tc>
        <w:tc>
          <w:tcPr>
            <w:tcW w:w="821" w:type="dxa"/>
            <w:shd w:val="clear" w:color="auto" w:fill="auto"/>
            <w:vAlign w:val="bottom"/>
            <w:hideMark/>
          </w:tcPr>
          <w:p w14:paraId="60FDBDDD" w14:textId="77777777" w:rsidR="00C64C95" w:rsidRPr="004A782C" w:rsidRDefault="00C64C95" w:rsidP="00B27EBA">
            <w:pPr>
              <w:spacing w:after="0"/>
              <w:contextualSpacing/>
              <w:jc w:val="both"/>
              <w:rPr>
                <w:rFonts w:eastAsia="Times New Roman"/>
                <w:color w:val="000000" w:themeColor="text1"/>
                <w:lang w:bidi="ne-NP"/>
              </w:rPr>
            </w:pPr>
          </w:p>
        </w:tc>
        <w:tc>
          <w:tcPr>
            <w:tcW w:w="957" w:type="dxa"/>
            <w:shd w:val="clear" w:color="auto" w:fill="auto"/>
            <w:vAlign w:val="bottom"/>
            <w:hideMark/>
          </w:tcPr>
          <w:p w14:paraId="0169AD6B" w14:textId="77777777" w:rsidR="00C64C95" w:rsidRPr="004A782C" w:rsidRDefault="00C64C95" w:rsidP="00B27EBA">
            <w:pPr>
              <w:spacing w:after="0"/>
              <w:contextualSpacing/>
              <w:jc w:val="both"/>
              <w:rPr>
                <w:rFonts w:eastAsia="Times New Roman"/>
                <w:color w:val="000000" w:themeColor="text1"/>
                <w:lang w:bidi="ne-NP"/>
              </w:rPr>
            </w:pPr>
          </w:p>
        </w:tc>
        <w:tc>
          <w:tcPr>
            <w:tcW w:w="836" w:type="dxa"/>
            <w:shd w:val="clear" w:color="auto" w:fill="auto"/>
            <w:vAlign w:val="bottom"/>
            <w:hideMark/>
          </w:tcPr>
          <w:p w14:paraId="4E2E8516" w14:textId="77777777" w:rsidR="00C64C95" w:rsidRPr="004A782C" w:rsidRDefault="00C64C95" w:rsidP="00B27EBA">
            <w:pPr>
              <w:spacing w:after="0"/>
              <w:contextualSpacing/>
              <w:jc w:val="both"/>
              <w:rPr>
                <w:rFonts w:eastAsia="Times New Roman"/>
                <w:color w:val="000000" w:themeColor="text1"/>
                <w:lang w:bidi="ne-NP"/>
              </w:rPr>
            </w:pPr>
          </w:p>
        </w:tc>
      </w:tr>
      <w:tr w:rsidR="00C64C95" w:rsidRPr="004A782C" w14:paraId="392B1F34" w14:textId="77777777" w:rsidTr="00EE3BE0">
        <w:trPr>
          <w:trHeight w:val="290"/>
        </w:trPr>
        <w:tc>
          <w:tcPr>
            <w:tcW w:w="2326" w:type="dxa"/>
            <w:shd w:val="clear" w:color="auto" w:fill="auto"/>
            <w:vAlign w:val="center"/>
            <w:hideMark/>
          </w:tcPr>
          <w:p w14:paraId="4D61CDF1" w14:textId="0155E6AB" w:rsidR="00C64C95"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ATMHP Total</w:t>
            </w:r>
            <w:r w:rsidR="00C64C95" w:rsidRPr="004A782C">
              <w:rPr>
                <w:rFonts w:eastAsia="Times New Roman"/>
                <w:color w:val="000000" w:themeColor="text1"/>
                <w:lang w:bidi="ne-NP"/>
              </w:rPr>
              <w:t xml:space="preserve"> </w:t>
            </w:r>
          </w:p>
        </w:tc>
        <w:tc>
          <w:tcPr>
            <w:tcW w:w="2184" w:type="dxa"/>
            <w:shd w:val="clear" w:color="auto" w:fill="auto"/>
            <w:vAlign w:val="center"/>
            <w:hideMark/>
          </w:tcPr>
          <w:p w14:paraId="3C267E8D"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Female</w:t>
            </w:r>
          </w:p>
        </w:tc>
        <w:tc>
          <w:tcPr>
            <w:tcW w:w="821" w:type="dxa"/>
            <w:shd w:val="clear" w:color="auto" w:fill="auto"/>
            <w:vAlign w:val="center"/>
            <w:hideMark/>
          </w:tcPr>
          <w:p w14:paraId="2BD1C58F"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34.43</w:t>
            </w:r>
          </w:p>
        </w:tc>
        <w:tc>
          <w:tcPr>
            <w:tcW w:w="820" w:type="dxa"/>
            <w:shd w:val="clear" w:color="auto" w:fill="auto"/>
            <w:vAlign w:val="center"/>
            <w:hideMark/>
          </w:tcPr>
          <w:p w14:paraId="2994CCBA"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18.89</w:t>
            </w:r>
          </w:p>
        </w:tc>
        <w:tc>
          <w:tcPr>
            <w:tcW w:w="821" w:type="dxa"/>
            <w:shd w:val="clear" w:color="auto" w:fill="auto"/>
            <w:vAlign w:val="center"/>
            <w:hideMark/>
          </w:tcPr>
          <w:p w14:paraId="4C7EC3E0"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0.14</w:t>
            </w:r>
          </w:p>
        </w:tc>
        <w:tc>
          <w:tcPr>
            <w:tcW w:w="957" w:type="dxa"/>
            <w:shd w:val="clear" w:color="auto" w:fill="auto"/>
            <w:noWrap/>
            <w:vAlign w:val="center"/>
            <w:hideMark/>
          </w:tcPr>
          <w:p w14:paraId="362D4D14"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271.55</w:t>
            </w:r>
          </w:p>
        </w:tc>
        <w:tc>
          <w:tcPr>
            <w:tcW w:w="836" w:type="dxa"/>
            <w:shd w:val="clear" w:color="auto" w:fill="auto"/>
            <w:noWrap/>
            <w:vAlign w:val="center"/>
            <w:hideMark/>
          </w:tcPr>
          <w:p w14:paraId="02F2D6E7"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0.89</w:t>
            </w:r>
          </w:p>
        </w:tc>
      </w:tr>
      <w:tr w:rsidR="00C64C95" w:rsidRPr="004A782C" w14:paraId="7AAD81B3" w14:textId="77777777" w:rsidTr="00EE3BE0">
        <w:trPr>
          <w:trHeight w:val="290"/>
        </w:trPr>
        <w:tc>
          <w:tcPr>
            <w:tcW w:w="2326" w:type="dxa"/>
            <w:tcBorders>
              <w:bottom w:val="single" w:sz="4" w:space="0" w:color="auto"/>
            </w:tcBorders>
            <w:shd w:val="clear" w:color="auto" w:fill="auto"/>
            <w:vAlign w:val="center"/>
            <w:hideMark/>
          </w:tcPr>
          <w:p w14:paraId="4658EC14"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tcBorders>
              <w:bottom w:val="single" w:sz="4" w:space="0" w:color="auto"/>
            </w:tcBorders>
            <w:shd w:val="clear" w:color="auto" w:fill="auto"/>
            <w:vAlign w:val="center"/>
            <w:hideMark/>
          </w:tcPr>
          <w:p w14:paraId="5C65921B"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Male</w:t>
            </w:r>
          </w:p>
        </w:tc>
        <w:tc>
          <w:tcPr>
            <w:tcW w:w="821" w:type="dxa"/>
            <w:tcBorders>
              <w:bottom w:val="single" w:sz="4" w:space="0" w:color="auto"/>
            </w:tcBorders>
            <w:shd w:val="clear" w:color="auto" w:fill="auto"/>
            <w:vAlign w:val="center"/>
            <w:hideMark/>
          </w:tcPr>
          <w:p w14:paraId="3FA303A7"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34.12</w:t>
            </w:r>
          </w:p>
        </w:tc>
        <w:tc>
          <w:tcPr>
            <w:tcW w:w="820" w:type="dxa"/>
            <w:tcBorders>
              <w:bottom w:val="single" w:sz="4" w:space="0" w:color="auto"/>
            </w:tcBorders>
            <w:shd w:val="clear" w:color="auto" w:fill="auto"/>
            <w:vAlign w:val="center"/>
            <w:hideMark/>
          </w:tcPr>
          <w:p w14:paraId="6BD00272"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20.48</w:t>
            </w:r>
          </w:p>
        </w:tc>
        <w:tc>
          <w:tcPr>
            <w:tcW w:w="821" w:type="dxa"/>
            <w:tcBorders>
              <w:bottom w:val="single" w:sz="4" w:space="0" w:color="auto"/>
            </w:tcBorders>
            <w:shd w:val="clear" w:color="auto" w:fill="auto"/>
            <w:vAlign w:val="bottom"/>
            <w:hideMark/>
          </w:tcPr>
          <w:p w14:paraId="25FAB505" w14:textId="77777777" w:rsidR="00C64C95" w:rsidRPr="004A782C" w:rsidRDefault="00C64C95" w:rsidP="00B27EBA">
            <w:pPr>
              <w:spacing w:after="0"/>
              <w:contextualSpacing/>
              <w:jc w:val="both"/>
              <w:rPr>
                <w:rFonts w:eastAsia="Times New Roman"/>
                <w:color w:val="000000" w:themeColor="text1"/>
                <w:lang w:bidi="ne-NP"/>
              </w:rPr>
            </w:pPr>
          </w:p>
        </w:tc>
        <w:tc>
          <w:tcPr>
            <w:tcW w:w="957" w:type="dxa"/>
            <w:tcBorders>
              <w:bottom w:val="single" w:sz="4" w:space="0" w:color="auto"/>
            </w:tcBorders>
            <w:shd w:val="clear" w:color="auto" w:fill="auto"/>
            <w:vAlign w:val="bottom"/>
            <w:hideMark/>
          </w:tcPr>
          <w:p w14:paraId="1DFF3FFC" w14:textId="77777777" w:rsidR="00C64C95" w:rsidRPr="004A782C" w:rsidRDefault="00C64C95" w:rsidP="00B27EBA">
            <w:pPr>
              <w:spacing w:after="0"/>
              <w:contextualSpacing/>
              <w:jc w:val="both"/>
              <w:rPr>
                <w:rFonts w:eastAsia="Times New Roman"/>
                <w:color w:val="000000" w:themeColor="text1"/>
                <w:lang w:bidi="ne-NP"/>
              </w:rPr>
            </w:pPr>
          </w:p>
        </w:tc>
        <w:tc>
          <w:tcPr>
            <w:tcW w:w="836" w:type="dxa"/>
            <w:tcBorders>
              <w:bottom w:val="single" w:sz="4" w:space="0" w:color="auto"/>
            </w:tcBorders>
            <w:shd w:val="clear" w:color="auto" w:fill="auto"/>
            <w:vAlign w:val="bottom"/>
            <w:hideMark/>
          </w:tcPr>
          <w:p w14:paraId="64465EBE" w14:textId="77777777" w:rsidR="00C64C95" w:rsidRPr="004A782C" w:rsidRDefault="00C64C95" w:rsidP="00B27EBA">
            <w:pPr>
              <w:spacing w:after="0"/>
              <w:contextualSpacing/>
              <w:jc w:val="both"/>
              <w:rPr>
                <w:rFonts w:eastAsia="Times New Roman"/>
                <w:color w:val="000000" w:themeColor="text1"/>
                <w:lang w:bidi="ne-NP"/>
              </w:rPr>
            </w:pPr>
          </w:p>
        </w:tc>
      </w:tr>
      <w:tr w:rsidR="00C64C95" w:rsidRPr="004A782C" w14:paraId="0C9B6A7F" w14:textId="77777777" w:rsidTr="00EE3BE0">
        <w:trPr>
          <w:trHeight w:val="171"/>
        </w:trPr>
        <w:tc>
          <w:tcPr>
            <w:tcW w:w="8765" w:type="dxa"/>
            <w:gridSpan w:val="7"/>
            <w:tcBorders>
              <w:top w:val="single" w:sz="4" w:space="0" w:color="auto"/>
              <w:bottom w:val="single" w:sz="4" w:space="0" w:color="auto"/>
            </w:tcBorders>
            <w:shd w:val="clear" w:color="auto" w:fill="auto"/>
            <w:vAlign w:val="center"/>
          </w:tcPr>
          <w:p w14:paraId="6D55B8B2"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lang w:bidi="ne-NP"/>
              </w:rPr>
              <w:t>Religion</w:t>
            </w:r>
            <w:r w:rsidRPr="004A782C">
              <w:rPr>
                <w:rFonts w:eastAsia="Times New Roman"/>
                <w:color w:val="000000" w:themeColor="text1"/>
                <w:lang w:bidi="ne-NP"/>
              </w:rPr>
              <w:t xml:space="preserve"> [</w:t>
            </w:r>
            <w:r w:rsidRPr="004A782C">
              <w:rPr>
                <w:rFonts w:eastAsia="Times New Roman"/>
                <w:color w:val="000000"/>
                <w:lang w:bidi="ne-NP"/>
              </w:rPr>
              <w:t>Hindu (</w:t>
            </w:r>
            <w:r w:rsidRPr="004A782C">
              <w:rPr>
                <w:rFonts w:eastAsia="Times New Roman"/>
                <w:i/>
                <w:iCs/>
                <w:color w:val="000000"/>
                <w:lang w:bidi="ne-NP"/>
              </w:rPr>
              <w:t>N</w:t>
            </w:r>
            <w:r w:rsidRPr="004A782C">
              <w:rPr>
                <w:rFonts w:eastAsia="Times New Roman"/>
                <w:color w:val="000000"/>
                <w:lang w:bidi="ne-NP"/>
              </w:rPr>
              <w:t xml:space="preserve"> = 314)</w:t>
            </w:r>
            <w:r w:rsidRPr="004A782C">
              <w:rPr>
                <w:rFonts w:eastAsia="Times New Roman"/>
                <w:color w:val="000000" w:themeColor="text1"/>
                <w:lang w:bidi="ne-NP"/>
              </w:rPr>
              <w:t xml:space="preserve">, </w:t>
            </w:r>
            <w:r w:rsidRPr="004A782C">
              <w:rPr>
                <w:rFonts w:eastAsia="Times New Roman"/>
                <w:color w:val="000000"/>
                <w:lang w:bidi="ne-NP"/>
              </w:rPr>
              <w:t>Others (</w:t>
            </w:r>
            <w:r w:rsidRPr="004A782C">
              <w:rPr>
                <w:rFonts w:eastAsia="Times New Roman"/>
                <w:i/>
                <w:iCs/>
                <w:color w:val="000000"/>
                <w:lang w:bidi="ne-NP"/>
              </w:rPr>
              <w:t>N</w:t>
            </w:r>
            <w:r w:rsidRPr="004A782C">
              <w:rPr>
                <w:rFonts w:eastAsia="Times New Roman"/>
                <w:color w:val="000000"/>
                <w:lang w:bidi="ne-NP"/>
              </w:rPr>
              <w:t xml:space="preserve"> = 33)</w:t>
            </w:r>
            <w:r w:rsidRPr="004A782C">
              <w:rPr>
                <w:rFonts w:eastAsia="Times New Roman"/>
                <w:color w:val="000000" w:themeColor="text1"/>
                <w:lang w:bidi="ne-NP"/>
              </w:rPr>
              <w:t>]</w:t>
            </w:r>
          </w:p>
        </w:tc>
      </w:tr>
      <w:tr w:rsidR="00C92EDD" w:rsidRPr="004A782C" w14:paraId="72765820" w14:textId="77777777" w:rsidTr="00EE3BE0">
        <w:trPr>
          <w:trHeight w:val="420"/>
        </w:trPr>
        <w:tc>
          <w:tcPr>
            <w:tcW w:w="2326" w:type="dxa"/>
            <w:tcBorders>
              <w:top w:val="single" w:sz="4" w:space="0" w:color="auto"/>
            </w:tcBorders>
            <w:shd w:val="clear" w:color="auto" w:fill="auto"/>
            <w:vAlign w:val="center"/>
          </w:tcPr>
          <w:p w14:paraId="415137EB" w14:textId="7A0DC2ED"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ATMHP </w:t>
            </w:r>
            <w:r w:rsidRPr="004A782C">
              <w:rPr>
                <w:rFonts w:eastAsia="Times New Roman"/>
                <w:color w:val="000000"/>
                <w:lang w:bidi="ne-NP"/>
              </w:rPr>
              <w:t>Factor</w:t>
            </w:r>
          </w:p>
        </w:tc>
        <w:tc>
          <w:tcPr>
            <w:tcW w:w="2184" w:type="dxa"/>
            <w:tcBorders>
              <w:top w:val="single" w:sz="4" w:space="0" w:color="auto"/>
            </w:tcBorders>
            <w:shd w:val="clear" w:color="auto" w:fill="auto"/>
            <w:vAlign w:val="center"/>
          </w:tcPr>
          <w:p w14:paraId="63DB0B89"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Hindu</w:t>
            </w:r>
          </w:p>
        </w:tc>
        <w:tc>
          <w:tcPr>
            <w:tcW w:w="821" w:type="dxa"/>
            <w:tcBorders>
              <w:top w:val="single" w:sz="4" w:space="0" w:color="auto"/>
            </w:tcBorders>
            <w:shd w:val="clear" w:color="auto" w:fill="auto"/>
            <w:vAlign w:val="center"/>
          </w:tcPr>
          <w:p w14:paraId="65566673" w14:textId="77777777" w:rsidR="00C92EDD" w:rsidRPr="004A782C" w:rsidRDefault="00C92EDD" w:rsidP="00B27EBA">
            <w:pPr>
              <w:spacing w:after="0"/>
              <w:contextualSpacing/>
              <w:jc w:val="both"/>
              <w:rPr>
                <w:color w:val="000000"/>
              </w:rPr>
            </w:pPr>
            <w:r w:rsidRPr="004A782C">
              <w:rPr>
                <w:color w:val="000000"/>
              </w:rPr>
              <w:t>8.86</w:t>
            </w:r>
          </w:p>
        </w:tc>
        <w:tc>
          <w:tcPr>
            <w:tcW w:w="820" w:type="dxa"/>
            <w:tcBorders>
              <w:top w:val="single" w:sz="4" w:space="0" w:color="auto"/>
            </w:tcBorders>
            <w:shd w:val="clear" w:color="auto" w:fill="auto"/>
            <w:vAlign w:val="center"/>
          </w:tcPr>
          <w:p w14:paraId="3EA54842" w14:textId="77777777" w:rsidR="00C92EDD" w:rsidRPr="004A782C" w:rsidRDefault="00C92EDD" w:rsidP="00B27EBA">
            <w:pPr>
              <w:spacing w:after="0"/>
              <w:contextualSpacing/>
              <w:jc w:val="both"/>
              <w:rPr>
                <w:color w:val="000000"/>
              </w:rPr>
            </w:pPr>
            <w:r w:rsidRPr="004A782C">
              <w:rPr>
                <w:color w:val="000000"/>
              </w:rPr>
              <w:t>5.11</w:t>
            </w:r>
          </w:p>
        </w:tc>
        <w:tc>
          <w:tcPr>
            <w:tcW w:w="821" w:type="dxa"/>
            <w:tcBorders>
              <w:top w:val="single" w:sz="4" w:space="0" w:color="auto"/>
            </w:tcBorders>
            <w:shd w:val="clear" w:color="auto" w:fill="auto"/>
            <w:vAlign w:val="center"/>
          </w:tcPr>
          <w:p w14:paraId="65D1D6D4" w14:textId="77777777" w:rsidR="00C92EDD" w:rsidRPr="004A782C" w:rsidRDefault="00C92EDD" w:rsidP="00B27EBA">
            <w:pPr>
              <w:spacing w:after="0"/>
              <w:contextualSpacing/>
              <w:jc w:val="both"/>
              <w:rPr>
                <w:color w:val="000000"/>
              </w:rPr>
            </w:pPr>
            <w:r w:rsidRPr="004A782C">
              <w:rPr>
                <w:color w:val="000000"/>
              </w:rPr>
              <w:t>-0.44</w:t>
            </w:r>
          </w:p>
        </w:tc>
        <w:tc>
          <w:tcPr>
            <w:tcW w:w="957" w:type="dxa"/>
            <w:tcBorders>
              <w:top w:val="single" w:sz="4" w:space="0" w:color="auto"/>
            </w:tcBorders>
            <w:shd w:val="clear" w:color="auto" w:fill="auto"/>
            <w:vAlign w:val="center"/>
          </w:tcPr>
          <w:p w14:paraId="3E2B6E77" w14:textId="77777777" w:rsidR="00C92EDD" w:rsidRPr="004A782C" w:rsidRDefault="00C92EDD" w:rsidP="00B27EBA">
            <w:pPr>
              <w:spacing w:after="0"/>
              <w:contextualSpacing/>
              <w:jc w:val="both"/>
              <w:rPr>
                <w:color w:val="000000"/>
              </w:rPr>
            </w:pPr>
            <w:r w:rsidRPr="004A782C">
              <w:rPr>
                <w:color w:val="000000"/>
              </w:rPr>
              <w:t>37.15</w:t>
            </w:r>
          </w:p>
        </w:tc>
        <w:tc>
          <w:tcPr>
            <w:tcW w:w="836" w:type="dxa"/>
            <w:tcBorders>
              <w:top w:val="single" w:sz="4" w:space="0" w:color="auto"/>
            </w:tcBorders>
            <w:shd w:val="clear" w:color="auto" w:fill="auto"/>
            <w:vAlign w:val="center"/>
          </w:tcPr>
          <w:p w14:paraId="233990D7" w14:textId="77777777" w:rsidR="00C92EDD" w:rsidRPr="004A782C" w:rsidRDefault="00C92EDD" w:rsidP="00B27EBA">
            <w:pPr>
              <w:spacing w:after="0"/>
              <w:contextualSpacing/>
              <w:jc w:val="both"/>
              <w:rPr>
                <w:color w:val="000000"/>
              </w:rPr>
            </w:pPr>
            <w:r w:rsidRPr="004A782C">
              <w:rPr>
                <w:color w:val="000000"/>
              </w:rPr>
              <w:t>0.661</w:t>
            </w:r>
          </w:p>
        </w:tc>
      </w:tr>
      <w:tr w:rsidR="00C92EDD" w:rsidRPr="004A782C" w14:paraId="3C5DB533" w14:textId="77777777" w:rsidTr="00EE3BE0">
        <w:trPr>
          <w:trHeight w:val="290"/>
        </w:trPr>
        <w:tc>
          <w:tcPr>
            <w:tcW w:w="2326" w:type="dxa"/>
            <w:shd w:val="clear" w:color="auto" w:fill="auto"/>
            <w:vAlign w:val="center"/>
          </w:tcPr>
          <w:p w14:paraId="411FC387"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tcPr>
          <w:p w14:paraId="7A9CEE47"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821" w:type="dxa"/>
            <w:shd w:val="clear" w:color="auto" w:fill="auto"/>
            <w:vAlign w:val="center"/>
          </w:tcPr>
          <w:p w14:paraId="716E0AA2" w14:textId="77777777" w:rsidR="00C92EDD" w:rsidRPr="004A782C" w:rsidRDefault="00C92EDD" w:rsidP="00B27EBA">
            <w:pPr>
              <w:spacing w:after="0"/>
              <w:contextualSpacing/>
              <w:jc w:val="both"/>
              <w:rPr>
                <w:color w:val="000000"/>
              </w:rPr>
            </w:pPr>
            <w:r w:rsidRPr="004A782C">
              <w:rPr>
                <w:color w:val="000000"/>
              </w:rPr>
              <w:t>9.33</w:t>
            </w:r>
          </w:p>
        </w:tc>
        <w:tc>
          <w:tcPr>
            <w:tcW w:w="820" w:type="dxa"/>
            <w:shd w:val="clear" w:color="auto" w:fill="auto"/>
            <w:vAlign w:val="center"/>
          </w:tcPr>
          <w:p w14:paraId="259AD7F9" w14:textId="77777777" w:rsidR="00C92EDD" w:rsidRPr="004A782C" w:rsidRDefault="00C92EDD" w:rsidP="00B27EBA">
            <w:pPr>
              <w:spacing w:after="0"/>
              <w:contextualSpacing/>
              <w:jc w:val="both"/>
              <w:rPr>
                <w:color w:val="000000"/>
              </w:rPr>
            </w:pPr>
            <w:r w:rsidRPr="004A782C">
              <w:rPr>
                <w:color w:val="000000"/>
              </w:rPr>
              <w:t>5.94</w:t>
            </w:r>
          </w:p>
        </w:tc>
        <w:tc>
          <w:tcPr>
            <w:tcW w:w="821" w:type="dxa"/>
            <w:shd w:val="clear" w:color="auto" w:fill="auto"/>
            <w:vAlign w:val="bottom"/>
          </w:tcPr>
          <w:p w14:paraId="405C2D52" w14:textId="77777777" w:rsidR="00C92EDD" w:rsidRPr="004A782C" w:rsidRDefault="00C92EDD" w:rsidP="00B27EBA">
            <w:pPr>
              <w:spacing w:after="0"/>
              <w:contextualSpacing/>
              <w:jc w:val="both"/>
              <w:rPr>
                <w:color w:val="000000"/>
              </w:rPr>
            </w:pPr>
          </w:p>
        </w:tc>
        <w:tc>
          <w:tcPr>
            <w:tcW w:w="957" w:type="dxa"/>
            <w:shd w:val="clear" w:color="auto" w:fill="auto"/>
            <w:vAlign w:val="bottom"/>
          </w:tcPr>
          <w:p w14:paraId="2B436FAB" w14:textId="77777777" w:rsidR="00C92EDD" w:rsidRPr="004A782C" w:rsidRDefault="00C92EDD" w:rsidP="00B27EBA">
            <w:pPr>
              <w:spacing w:after="0"/>
              <w:contextualSpacing/>
              <w:jc w:val="both"/>
            </w:pPr>
          </w:p>
        </w:tc>
        <w:tc>
          <w:tcPr>
            <w:tcW w:w="836" w:type="dxa"/>
            <w:shd w:val="clear" w:color="auto" w:fill="auto"/>
            <w:vAlign w:val="bottom"/>
          </w:tcPr>
          <w:p w14:paraId="551FB488" w14:textId="77777777" w:rsidR="00C92EDD" w:rsidRPr="004A782C" w:rsidRDefault="00C92EDD" w:rsidP="00B27EBA">
            <w:pPr>
              <w:spacing w:after="0"/>
              <w:contextualSpacing/>
              <w:jc w:val="both"/>
            </w:pPr>
          </w:p>
        </w:tc>
      </w:tr>
      <w:tr w:rsidR="00C92EDD" w:rsidRPr="004A782C" w14:paraId="544F9BB2" w14:textId="77777777" w:rsidTr="00EE3BE0">
        <w:trPr>
          <w:trHeight w:val="290"/>
        </w:trPr>
        <w:tc>
          <w:tcPr>
            <w:tcW w:w="2326" w:type="dxa"/>
            <w:shd w:val="clear" w:color="auto" w:fill="auto"/>
            <w:vAlign w:val="center"/>
          </w:tcPr>
          <w:p w14:paraId="71FD3FAA" w14:textId="67BCBFB9"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ES </w:t>
            </w:r>
            <w:r w:rsidRPr="004A782C">
              <w:rPr>
                <w:rFonts w:eastAsia="Times New Roman"/>
                <w:color w:val="000000"/>
                <w:lang w:bidi="ne-NP"/>
              </w:rPr>
              <w:t>Factor</w:t>
            </w:r>
          </w:p>
        </w:tc>
        <w:tc>
          <w:tcPr>
            <w:tcW w:w="2184" w:type="dxa"/>
            <w:shd w:val="clear" w:color="auto" w:fill="auto"/>
            <w:vAlign w:val="center"/>
          </w:tcPr>
          <w:p w14:paraId="1B804A4E"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Hindu</w:t>
            </w:r>
          </w:p>
        </w:tc>
        <w:tc>
          <w:tcPr>
            <w:tcW w:w="821" w:type="dxa"/>
            <w:shd w:val="clear" w:color="auto" w:fill="auto"/>
            <w:vAlign w:val="center"/>
          </w:tcPr>
          <w:p w14:paraId="23AF5B65" w14:textId="77777777" w:rsidR="00C92EDD" w:rsidRPr="004A782C" w:rsidRDefault="00C92EDD" w:rsidP="00B27EBA">
            <w:pPr>
              <w:spacing w:after="0"/>
              <w:contextualSpacing/>
              <w:jc w:val="both"/>
              <w:rPr>
                <w:color w:val="000000"/>
              </w:rPr>
            </w:pPr>
            <w:r w:rsidRPr="004A782C">
              <w:rPr>
                <w:color w:val="000000"/>
              </w:rPr>
              <w:t>8.28</w:t>
            </w:r>
          </w:p>
        </w:tc>
        <w:tc>
          <w:tcPr>
            <w:tcW w:w="820" w:type="dxa"/>
            <w:shd w:val="clear" w:color="auto" w:fill="auto"/>
            <w:vAlign w:val="center"/>
          </w:tcPr>
          <w:p w14:paraId="1951E8FE" w14:textId="77777777" w:rsidR="00C92EDD" w:rsidRPr="004A782C" w:rsidRDefault="00C92EDD" w:rsidP="00B27EBA">
            <w:pPr>
              <w:spacing w:after="0"/>
              <w:contextualSpacing/>
              <w:jc w:val="both"/>
              <w:rPr>
                <w:color w:val="000000"/>
              </w:rPr>
            </w:pPr>
            <w:r w:rsidRPr="004A782C">
              <w:rPr>
                <w:color w:val="000000"/>
              </w:rPr>
              <w:t>6.89</w:t>
            </w:r>
          </w:p>
        </w:tc>
        <w:tc>
          <w:tcPr>
            <w:tcW w:w="821" w:type="dxa"/>
            <w:shd w:val="clear" w:color="auto" w:fill="auto"/>
            <w:vAlign w:val="center"/>
          </w:tcPr>
          <w:p w14:paraId="76640DB2" w14:textId="77777777" w:rsidR="00C92EDD" w:rsidRPr="004A782C" w:rsidRDefault="00C92EDD" w:rsidP="00B27EBA">
            <w:pPr>
              <w:spacing w:after="0"/>
              <w:contextualSpacing/>
              <w:jc w:val="both"/>
              <w:rPr>
                <w:color w:val="000000"/>
              </w:rPr>
            </w:pPr>
            <w:r w:rsidRPr="004A782C">
              <w:rPr>
                <w:color w:val="000000"/>
              </w:rPr>
              <w:t>-0.41</w:t>
            </w:r>
          </w:p>
        </w:tc>
        <w:tc>
          <w:tcPr>
            <w:tcW w:w="957" w:type="dxa"/>
            <w:shd w:val="clear" w:color="auto" w:fill="auto"/>
            <w:vAlign w:val="center"/>
          </w:tcPr>
          <w:p w14:paraId="776E530E" w14:textId="77777777" w:rsidR="00C92EDD" w:rsidRPr="004A782C" w:rsidRDefault="00C92EDD" w:rsidP="00B27EBA">
            <w:pPr>
              <w:spacing w:after="0"/>
              <w:contextualSpacing/>
              <w:jc w:val="both"/>
              <w:rPr>
                <w:color w:val="000000"/>
              </w:rPr>
            </w:pPr>
            <w:r w:rsidRPr="004A782C">
              <w:rPr>
                <w:color w:val="000000"/>
              </w:rPr>
              <w:t>39.41</w:t>
            </w:r>
          </w:p>
        </w:tc>
        <w:tc>
          <w:tcPr>
            <w:tcW w:w="836" w:type="dxa"/>
            <w:shd w:val="clear" w:color="auto" w:fill="auto"/>
            <w:vAlign w:val="center"/>
          </w:tcPr>
          <w:p w14:paraId="5E7547C8" w14:textId="77777777" w:rsidR="00C92EDD" w:rsidRPr="004A782C" w:rsidRDefault="00C92EDD" w:rsidP="00B27EBA">
            <w:pPr>
              <w:spacing w:after="0"/>
              <w:contextualSpacing/>
              <w:jc w:val="both"/>
              <w:rPr>
                <w:color w:val="000000"/>
              </w:rPr>
            </w:pPr>
            <w:r w:rsidRPr="004A782C">
              <w:rPr>
                <w:color w:val="000000"/>
              </w:rPr>
              <w:t>0.683</w:t>
            </w:r>
          </w:p>
        </w:tc>
      </w:tr>
      <w:tr w:rsidR="00C92EDD" w:rsidRPr="004A782C" w14:paraId="7A716E25" w14:textId="77777777" w:rsidTr="00EE3BE0">
        <w:trPr>
          <w:trHeight w:val="290"/>
        </w:trPr>
        <w:tc>
          <w:tcPr>
            <w:tcW w:w="2326" w:type="dxa"/>
            <w:shd w:val="clear" w:color="auto" w:fill="auto"/>
            <w:vAlign w:val="center"/>
          </w:tcPr>
          <w:p w14:paraId="0D14E5EA"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tcPr>
          <w:p w14:paraId="75C50B36"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821" w:type="dxa"/>
            <w:shd w:val="clear" w:color="auto" w:fill="auto"/>
            <w:vAlign w:val="center"/>
          </w:tcPr>
          <w:p w14:paraId="234C0237" w14:textId="77777777" w:rsidR="00C92EDD" w:rsidRPr="004A782C" w:rsidRDefault="00C92EDD" w:rsidP="00B27EBA">
            <w:pPr>
              <w:spacing w:after="0"/>
              <w:contextualSpacing/>
              <w:jc w:val="both"/>
              <w:rPr>
                <w:color w:val="000000"/>
              </w:rPr>
            </w:pPr>
            <w:r w:rsidRPr="004A782C">
              <w:rPr>
                <w:color w:val="000000"/>
              </w:rPr>
              <w:t>8.79</w:t>
            </w:r>
          </w:p>
        </w:tc>
        <w:tc>
          <w:tcPr>
            <w:tcW w:w="820" w:type="dxa"/>
            <w:shd w:val="clear" w:color="auto" w:fill="auto"/>
            <w:vAlign w:val="center"/>
          </w:tcPr>
          <w:p w14:paraId="35FDCB87" w14:textId="77777777" w:rsidR="00C92EDD" w:rsidRPr="004A782C" w:rsidRDefault="00C92EDD" w:rsidP="00B27EBA">
            <w:pPr>
              <w:spacing w:after="0"/>
              <w:contextualSpacing/>
              <w:jc w:val="both"/>
              <w:rPr>
                <w:color w:val="000000"/>
              </w:rPr>
            </w:pPr>
            <w:r w:rsidRPr="004A782C">
              <w:rPr>
                <w:color w:val="000000"/>
              </w:rPr>
              <w:t>6.72</w:t>
            </w:r>
          </w:p>
        </w:tc>
        <w:tc>
          <w:tcPr>
            <w:tcW w:w="821" w:type="dxa"/>
            <w:shd w:val="clear" w:color="auto" w:fill="auto"/>
            <w:vAlign w:val="bottom"/>
          </w:tcPr>
          <w:p w14:paraId="6475C1D3" w14:textId="77777777" w:rsidR="00C92EDD" w:rsidRPr="004A782C" w:rsidRDefault="00C92EDD" w:rsidP="00B27EBA">
            <w:pPr>
              <w:spacing w:after="0"/>
              <w:contextualSpacing/>
              <w:jc w:val="both"/>
              <w:rPr>
                <w:color w:val="000000"/>
              </w:rPr>
            </w:pPr>
          </w:p>
        </w:tc>
        <w:tc>
          <w:tcPr>
            <w:tcW w:w="957" w:type="dxa"/>
            <w:shd w:val="clear" w:color="auto" w:fill="auto"/>
            <w:vAlign w:val="bottom"/>
          </w:tcPr>
          <w:p w14:paraId="149995F2" w14:textId="77777777" w:rsidR="00C92EDD" w:rsidRPr="004A782C" w:rsidRDefault="00C92EDD" w:rsidP="00B27EBA">
            <w:pPr>
              <w:spacing w:after="0"/>
              <w:contextualSpacing/>
              <w:jc w:val="both"/>
            </w:pPr>
          </w:p>
        </w:tc>
        <w:tc>
          <w:tcPr>
            <w:tcW w:w="836" w:type="dxa"/>
            <w:shd w:val="clear" w:color="auto" w:fill="auto"/>
            <w:vAlign w:val="bottom"/>
          </w:tcPr>
          <w:p w14:paraId="631A13AB" w14:textId="77777777" w:rsidR="00C92EDD" w:rsidRPr="004A782C" w:rsidRDefault="00C92EDD" w:rsidP="00B27EBA">
            <w:pPr>
              <w:spacing w:after="0"/>
              <w:contextualSpacing/>
              <w:jc w:val="both"/>
            </w:pPr>
          </w:p>
        </w:tc>
      </w:tr>
      <w:tr w:rsidR="00C92EDD" w:rsidRPr="004A782C" w14:paraId="171C0EC5" w14:textId="77777777" w:rsidTr="00EE3BE0">
        <w:trPr>
          <w:trHeight w:val="290"/>
        </w:trPr>
        <w:tc>
          <w:tcPr>
            <w:tcW w:w="2326" w:type="dxa"/>
            <w:shd w:val="clear" w:color="auto" w:fill="auto"/>
            <w:vAlign w:val="center"/>
          </w:tcPr>
          <w:p w14:paraId="6C9B7846" w14:textId="4C5CF5D3"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lastRenderedPageBreak/>
              <w:t xml:space="preserve">IS </w:t>
            </w:r>
            <w:r w:rsidRPr="004A782C">
              <w:rPr>
                <w:rFonts w:eastAsia="Times New Roman"/>
                <w:color w:val="000000"/>
                <w:lang w:bidi="ne-NP"/>
              </w:rPr>
              <w:t>Factor</w:t>
            </w:r>
          </w:p>
        </w:tc>
        <w:tc>
          <w:tcPr>
            <w:tcW w:w="2184" w:type="dxa"/>
            <w:shd w:val="clear" w:color="auto" w:fill="auto"/>
            <w:vAlign w:val="center"/>
          </w:tcPr>
          <w:p w14:paraId="236218EE"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Hindu</w:t>
            </w:r>
          </w:p>
        </w:tc>
        <w:tc>
          <w:tcPr>
            <w:tcW w:w="821" w:type="dxa"/>
            <w:shd w:val="clear" w:color="auto" w:fill="auto"/>
            <w:vAlign w:val="center"/>
          </w:tcPr>
          <w:p w14:paraId="056333E9" w14:textId="77777777" w:rsidR="00C92EDD" w:rsidRPr="004A782C" w:rsidRDefault="00C92EDD" w:rsidP="00B27EBA">
            <w:pPr>
              <w:spacing w:after="0"/>
              <w:contextualSpacing/>
              <w:jc w:val="both"/>
              <w:rPr>
                <w:color w:val="000000"/>
              </w:rPr>
            </w:pPr>
            <w:r w:rsidRPr="004A782C">
              <w:rPr>
                <w:color w:val="000000"/>
              </w:rPr>
              <w:t>3.74</w:t>
            </w:r>
          </w:p>
        </w:tc>
        <w:tc>
          <w:tcPr>
            <w:tcW w:w="820" w:type="dxa"/>
            <w:shd w:val="clear" w:color="auto" w:fill="auto"/>
            <w:vAlign w:val="center"/>
          </w:tcPr>
          <w:p w14:paraId="49CB3621" w14:textId="77777777" w:rsidR="00C92EDD" w:rsidRPr="004A782C" w:rsidRDefault="00C92EDD" w:rsidP="00B27EBA">
            <w:pPr>
              <w:spacing w:after="0"/>
              <w:contextualSpacing/>
              <w:jc w:val="both"/>
              <w:rPr>
                <w:color w:val="000000"/>
              </w:rPr>
            </w:pPr>
            <w:r w:rsidRPr="004A782C">
              <w:rPr>
                <w:color w:val="000000"/>
              </w:rPr>
              <w:t>3.69</w:t>
            </w:r>
          </w:p>
        </w:tc>
        <w:tc>
          <w:tcPr>
            <w:tcW w:w="821" w:type="dxa"/>
            <w:shd w:val="clear" w:color="auto" w:fill="auto"/>
            <w:vAlign w:val="center"/>
          </w:tcPr>
          <w:p w14:paraId="13E86A94" w14:textId="77777777" w:rsidR="00C92EDD" w:rsidRPr="004A782C" w:rsidRDefault="00C92EDD" w:rsidP="00B27EBA">
            <w:pPr>
              <w:spacing w:after="0"/>
              <w:contextualSpacing/>
              <w:jc w:val="both"/>
              <w:rPr>
                <w:color w:val="000000"/>
              </w:rPr>
            </w:pPr>
            <w:r w:rsidRPr="004A782C">
              <w:rPr>
                <w:color w:val="000000"/>
              </w:rPr>
              <w:t>-0.72</w:t>
            </w:r>
          </w:p>
        </w:tc>
        <w:tc>
          <w:tcPr>
            <w:tcW w:w="957" w:type="dxa"/>
            <w:shd w:val="clear" w:color="auto" w:fill="auto"/>
            <w:vAlign w:val="center"/>
          </w:tcPr>
          <w:p w14:paraId="564D7A65" w14:textId="77777777" w:rsidR="00C92EDD" w:rsidRPr="004A782C" w:rsidRDefault="00C92EDD" w:rsidP="00B27EBA">
            <w:pPr>
              <w:spacing w:after="0"/>
              <w:contextualSpacing/>
              <w:jc w:val="both"/>
              <w:rPr>
                <w:color w:val="000000"/>
              </w:rPr>
            </w:pPr>
            <w:r w:rsidRPr="004A782C">
              <w:rPr>
                <w:color w:val="000000"/>
              </w:rPr>
              <w:t>38.40</w:t>
            </w:r>
          </w:p>
        </w:tc>
        <w:tc>
          <w:tcPr>
            <w:tcW w:w="836" w:type="dxa"/>
            <w:shd w:val="clear" w:color="auto" w:fill="auto"/>
            <w:vAlign w:val="center"/>
          </w:tcPr>
          <w:p w14:paraId="755D4B3B" w14:textId="77777777" w:rsidR="00C92EDD" w:rsidRPr="004A782C" w:rsidRDefault="00C92EDD" w:rsidP="00B27EBA">
            <w:pPr>
              <w:spacing w:after="0"/>
              <w:contextualSpacing/>
              <w:jc w:val="both"/>
              <w:rPr>
                <w:color w:val="000000"/>
              </w:rPr>
            </w:pPr>
            <w:r w:rsidRPr="004A782C">
              <w:rPr>
                <w:color w:val="000000"/>
              </w:rPr>
              <w:t>0.479</w:t>
            </w:r>
          </w:p>
        </w:tc>
      </w:tr>
      <w:tr w:rsidR="00C92EDD" w:rsidRPr="004A782C" w14:paraId="5D7EA215" w14:textId="77777777" w:rsidTr="00EE3BE0">
        <w:trPr>
          <w:trHeight w:val="290"/>
        </w:trPr>
        <w:tc>
          <w:tcPr>
            <w:tcW w:w="2326" w:type="dxa"/>
            <w:shd w:val="clear" w:color="auto" w:fill="auto"/>
            <w:vAlign w:val="center"/>
          </w:tcPr>
          <w:p w14:paraId="2A6F6A9E"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tcPr>
          <w:p w14:paraId="0F59FB14"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821" w:type="dxa"/>
            <w:shd w:val="clear" w:color="auto" w:fill="auto"/>
            <w:vAlign w:val="center"/>
          </w:tcPr>
          <w:p w14:paraId="0A01F347" w14:textId="77777777" w:rsidR="00C92EDD" w:rsidRPr="004A782C" w:rsidRDefault="00C92EDD" w:rsidP="00B27EBA">
            <w:pPr>
              <w:spacing w:after="0"/>
              <w:contextualSpacing/>
              <w:jc w:val="both"/>
              <w:rPr>
                <w:color w:val="000000"/>
              </w:rPr>
            </w:pPr>
            <w:r w:rsidRPr="004A782C">
              <w:rPr>
                <w:color w:val="000000"/>
              </w:rPr>
              <w:t>4.24</w:t>
            </w:r>
          </w:p>
        </w:tc>
        <w:tc>
          <w:tcPr>
            <w:tcW w:w="820" w:type="dxa"/>
            <w:shd w:val="clear" w:color="auto" w:fill="auto"/>
            <w:vAlign w:val="center"/>
          </w:tcPr>
          <w:p w14:paraId="07DEA970" w14:textId="77777777" w:rsidR="00C92EDD" w:rsidRPr="004A782C" w:rsidRDefault="00C92EDD" w:rsidP="00B27EBA">
            <w:pPr>
              <w:spacing w:after="0"/>
              <w:contextualSpacing/>
              <w:jc w:val="both"/>
              <w:rPr>
                <w:color w:val="000000"/>
              </w:rPr>
            </w:pPr>
            <w:r w:rsidRPr="004A782C">
              <w:rPr>
                <w:color w:val="000000"/>
              </w:rPr>
              <w:t>3.87</w:t>
            </w:r>
          </w:p>
        </w:tc>
        <w:tc>
          <w:tcPr>
            <w:tcW w:w="821" w:type="dxa"/>
            <w:shd w:val="clear" w:color="auto" w:fill="auto"/>
            <w:vAlign w:val="bottom"/>
          </w:tcPr>
          <w:p w14:paraId="0416DB79" w14:textId="77777777" w:rsidR="00C92EDD" w:rsidRPr="004A782C" w:rsidRDefault="00C92EDD" w:rsidP="00B27EBA">
            <w:pPr>
              <w:spacing w:after="0"/>
              <w:contextualSpacing/>
              <w:jc w:val="both"/>
              <w:rPr>
                <w:color w:val="000000"/>
              </w:rPr>
            </w:pPr>
          </w:p>
        </w:tc>
        <w:tc>
          <w:tcPr>
            <w:tcW w:w="957" w:type="dxa"/>
            <w:shd w:val="clear" w:color="auto" w:fill="auto"/>
            <w:vAlign w:val="bottom"/>
          </w:tcPr>
          <w:p w14:paraId="7BEE63C1" w14:textId="77777777" w:rsidR="00C92EDD" w:rsidRPr="004A782C" w:rsidRDefault="00C92EDD" w:rsidP="00B27EBA">
            <w:pPr>
              <w:spacing w:after="0"/>
              <w:contextualSpacing/>
              <w:jc w:val="both"/>
            </w:pPr>
          </w:p>
        </w:tc>
        <w:tc>
          <w:tcPr>
            <w:tcW w:w="836" w:type="dxa"/>
            <w:shd w:val="clear" w:color="auto" w:fill="auto"/>
            <w:vAlign w:val="bottom"/>
          </w:tcPr>
          <w:p w14:paraId="0375E92A" w14:textId="77777777" w:rsidR="00C92EDD" w:rsidRPr="004A782C" w:rsidRDefault="00C92EDD" w:rsidP="00B27EBA">
            <w:pPr>
              <w:spacing w:after="0"/>
              <w:contextualSpacing/>
              <w:jc w:val="both"/>
            </w:pPr>
          </w:p>
        </w:tc>
      </w:tr>
      <w:tr w:rsidR="00C92EDD" w:rsidRPr="004A782C" w14:paraId="2D369E42" w14:textId="77777777" w:rsidTr="00EE3BE0">
        <w:trPr>
          <w:trHeight w:val="290"/>
        </w:trPr>
        <w:tc>
          <w:tcPr>
            <w:tcW w:w="2326" w:type="dxa"/>
            <w:shd w:val="clear" w:color="auto" w:fill="auto"/>
            <w:vAlign w:val="center"/>
          </w:tcPr>
          <w:p w14:paraId="5E1CF7D0" w14:textId="73FD7391"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RS1 </w:t>
            </w:r>
            <w:r w:rsidRPr="004A782C">
              <w:rPr>
                <w:rFonts w:eastAsia="Times New Roman"/>
                <w:color w:val="000000"/>
                <w:lang w:bidi="ne-NP"/>
              </w:rPr>
              <w:t>Factor</w:t>
            </w:r>
          </w:p>
        </w:tc>
        <w:tc>
          <w:tcPr>
            <w:tcW w:w="2184" w:type="dxa"/>
            <w:shd w:val="clear" w:color="auto" w:fill="auto"/>
            <w:vAlign w:val="center"/>
          </w:tcPr>
          <w:p w14:paraId="185BCDE4"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Hindu</w:t>
            </w:r>
          </w:p>
        </w:tc>
        <w:tc>
          <w:tcPr>
            <w:tcW w:w="821" w:type="dxa"/>
            <w:shd w:val="clear" w:color="auto" w:fill="auto"/>
            <w:vAlign w:val="center"/>
          </w:tcPr>
          <w:p w14:paraId="14F669D0" w14:textId="77777777" w:rsidR="00C92EDD" w:rsidRPr="004A782C" w:rsidRDefault="00C92EDD" w:rsidP="00B27EBA">
            <w:pPr>
              <w:spacing w:after="0"/>
              <w:contextualSpacing/>
              <w:jc w:val="both"/>
              <w:rPr>
                <w:color w:val="000000"/>
              </w:rPr>
            </w:pPr>
            <w:r w:rsidRPr="004A782C">
              <w:rPr>
                <w:color w:val="000000"/>
              </w:rPr>
              <w:t>7.91</w:t>
            </w:r>
          </w:p>
        </w:tc>
        <w:tc>
          <w:tcPr>
            <w:tcW w:w="820" w:type="dxa"/>
            <w:shd w:val="clear" w:color="auto" w:fill="auto"/>
            <w:vAlign w:val="center"/>
          </w:tcPr>
          <w:p w14:paraId="4C461D10" w14:textId="77777777" w:rsidR="00C92EDD" w:rsidRPr="004A782C" w:rsidRDefault="00C92EDD" w:rsidP="00B27EBA">
            <w:pPr>
              <w:spacing w:after="0"/>
              <w:contextualSpacing/>
              <w:jc w:val="both"/>
              <w:rPr>
                <w:color w:val="000000"/>
              </w:rPr>
            </w:pPr>
            <w:r w:rsidRPr="004A782C">
              <w:rPr>
                <w:color w:val="000000"/>
              </w:rPr>
              <w:t>5.35</w:t>
            </w:r>
          </w:p>
        </w:tc>
        <w:tc>
          <w:tcPr>
            <w:tcW w:w="821" w:type="dxa"/>
            <w:shd w:val="clear" w:color="auto" w:fill="auto"/>
            <w:vAlign w:val="center"/>
          </w:tcPr>
          <w:p w14:paraId="38D5DA1C" w14:textId="77777777" w:rsidR="00C92EDD" w:rsidRPr="004A782C" w:rsidRDefault="00C92EDD" w:rsidP="00B27EBA">
            <w:pPr>
              <w:spacing w:after="0"/>
              <w:contextualSpacing/>
              <w:jc w:val="both"/>
              <w:rPr>
                <w:color w:val="000000"/>
              </w:rPr>
            </w:pPr>
            <w:r w:rsidRPr="004A782C">
              <w:rPr>
                <w:color w:val="000000"/>
              </w:rPr>
              <w:t>0.03</w:t>
            </w:r>
          </w:p>
        </w:tc>
        <w:tc>
          <w:tcPr>
            <w:tcW w:w="957" w:type="dxa"/>
            <w:shd w:val="clear" w:color="auto" w:fill="auto"/>
            <w:vAlign w:val="center"/>
          </w:tcPr>
          <w:p w14:paraId="7F1D4234" w14:textId="77777777" w:rsidR="00C92EDD" w:rsidRPr="004A782C" w:rsidRDefault="00C92EDD" w:rsidP="00B27EBA">
            <w:pPr>
              <w:spacing w:after="0"/>
              <w:contextualSpacing/>
              <w:jc w:val="both"/>
              <w:rPr>
                <w:color w:val="000000"/>
              </w:rPr>
            </w:pPr>
            <w:r w:rsidRPr="004A782C">
              <w:rPr>
                <w:color w:val="000000"/>
              </w:rPr>
              <w:t>40.43</w:t>
            </w:r>
          </w:p>
        </w:tc>
        <w:tc>
          <w:tcPr>
            <w:tcW w:w="836" w:type="dxa"/>
            <w:shd w:val="clear" w:color="auto" w:fill="auto"/>
            <w:vAlign w:val="center"/>
          </w:tcPr>
          <w:p w14:paraId="2081C386" w14:textId="77777777" w:rsidR="00C92EDD" w:rsidRPr="004A782C" w:rsidRDefault="00C92EDD" w:rsidP="00B27EBA">
            <w:pPr>
              <w:spacing w:after="0"/>
              <w:contextualSpacing/>
              <w:jc w:val="both"/>
              <w:rPr>
                <w:color w:val="000000"/>
              </w:rPr>
            </w:pPr>
            <w:r w:rsidRPr="004A782C">
              <w:rPr>
                <w:color w:val="000000"/>
              </w:rPr>
              <w:t>0.975</w:t>
            </w:r>
          </w:p>
        </w:tc>
      </w:tr>
      <w:tr w:rsidR="00C92EDD" w:rsidRPr="004A782C" w14:paraId="58C8AAC9" w14:textId="77777777" w:rsidTr="00EE3BE0">
        <w:trPr>
          <w:trHeight w:val="290"/>
        </w:trPr>
        <w:tc>
          <w:tcPr>
            <w:tcW w:w="2326" w:type="dxa"/>
            <w:shd w:val="clear" w:color="auto" w:fill="auto"/>
            <w:vAlign w:val="center"/>
          </w:tcPr>
          <w:p w14:paraId="236214C2"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tcPr>
          <w:p w14:paraId="04C31499"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821" w:type="dxa"/>
            <w:shd w:val="clear" w:color="auto" w:fill="auto"/>
            <w:vAlign w:val="center"/>
          </w:tcPr>
          <w:p w14:paraId="4AF9D4F3" w14:textId="77777777" w:rsidR="00C92EDD" w:rsidRPr="004A782C" w:rsidRDefault="00C92EDD" w:rsidP="00B27EBA">
            <w:pPr>
              <w:spacing w:after="0"/>
              <w:contextualSpacing/>
              <w:jc w:val="both"/>
              <w:rPr>
                <w:color w:val="000000"/>
              </w:rPr>
            </w:pPr>
            <w:r w:rsidRPr="004A782C">
              <w:rPr>
                <w:color w:val="000000"/>
              </w:rPr>
              <w:t>7.88</w:t>
            </w:r>
          </w:p>
        </w:tc>
        <w:tc>
          <w:tcPr>
            <w:tcW w:w="820" w:type="dxa"/>
            <w:shd w:val="clear" w:color="auto" w:fill="auto"/>
            <w:vAlign w:val="center"/>
          </w:tcPr>
          <w:p w14:paraId="6D6B3DEC" w14:textId="77777777" w:rsidR="00C92EDD" w:rsidRPr="004A782C" w:rsidRDefault="00C92EDD" w:rsidP="00B27EBA">
            <w:pPr>
              <w:spacing w:after="0"/>
              <w:contextualSpacing/>
              <w:jc w:val="both"/>
              <w:rPr>
                <w:color w:val="000000"/>
              </w:rPr>
            </w:pPr>
            <w:r w:rsidRPr="004A782C">
              <w:rPr>
                <w:color w:val="000000"/>
              </w:rPr>
              <w:t>4.90</w:t>
            </w:r>
          </w:p>
        </w:tc>
        <w:tc>
          <w:tcPr>
            <w:tcW w:w="821" w:type="dxa"/>
            <w:shd w:val="clear" w:color="auto" w:fill="auto"/>
            <w:vAlign w:val="bottom"/>
          </w:tcPr>
          <w:p w14:paraId="46338A29" w14:textId="77777777" w:rsidR="00C92EDD" w:rsidRPr="004A782C" w:rsidRDefault="00C92EDD" w:rsidP="00B27EBA">
            <w:pPr>
              <w:spacing w:after="0"/>
              <w:contextualSpacing/>
              <w:jc w:val="both"/>
              <w:rPr>
                <w:color w:val="000000"/>
              </w:rPr>
            </w:pPr>
          </w:p>
        </w:tc>
        <w:tc>
          <w:tcPr>
            <w:tcW w:w="957" w:type="dxa"/>
            <w:shd w:val="clear" w:color="auto" w:fill="auto"/>
            <w:vAlign w:val="bottom"/>
          </w:tcPr>
          <w:p w14:paraId="42481173" w14:textId="77777777" w:rsidR="00C92EDD" w:rsidRPr="004A782C" w:rsidRDefault="00C92EDD" w:rsidP="00B27EBA">
            <w:pPr>
              <w:spacing w:after="0"/>
              <w:contextualSpacing/>
              <w:jc w:val="both"/>
            </w:pPr>
          </w:p>
        </w:tc>
        <w:tc>
          <w:tcPr>
            <w:tcW w:w="836" w:type="dxa"/>
            <w:shd w:val="clear" w:color="auto" w:fill="auto"/>
            <w:vAlign w:val="bottom"/>
          </w:tcPr>
          <w:p w14:paraId="61D23859" w14:textId="77777777" w:rsidR="00C92EDD" w:rsidRPr="004A782C" w:rsidRDefault="00C92EDD" w:rsidP="00B27EBA">
            <w:pPr>
              <w:spacing w:after="0"/>
              <w:contextualSpacing/>
              <w:jc w:val="both"/>
            </w:pPr>
          </w:p>
        </w:tc>
      </w:tr>
      <w:tr w:rsidR="00C92EDD" w:rsidRPr="004A782C" w14:paraId="0B92F8CA" w14:textId="77777777" w:rsidTr="00EE3BE0">
        <w:trPr>
          <w:trHeight w:val="290"/>
        </w:trPr>
        <w:tc>
          <w:tcPr>
            <w:tcW w:w="2326" w:type="dxa"/>
            <w:shd w:val="clear" w:color="auto" w:fill="auto"/>
            <w:vAlign w:val="center"/>
          </w:tcPr>
          <w:p w14:paraId="254CD5E9" w14:textId="16DC19B3"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RS2 </w:t>
            </w:r>
            <w:r w:rsidRPr="004A782C">
              <w:rPr>
                <w:rFonts w:eastAsia="Times New Roman"/>
                <w:color w:val="000000"/>
                <w:lang w:bidi="ne-NP"/>
              </w:rPr>
              <w:t>Factor</w:t>
            </w:r>
          </w:p>
        </w:tc>
        <w:tc>
          <w:tcPr>
            <w:tcW w:w="2184" w:type="dxa"/>
            <w:shd w:val="clear" w:color="auto" w:fill="auto"/>
            <w:vAlign w:val="center"/>
          </w:tcPr>
          <w:p w14:paraId="0FB70CE9" w14:textId="77777777" w:rsidR="00C92EDD" w:rsidRPr="004A782C" w:rsidRDefault="00C92EDD" w:rsidP="00B27EBA">
            <w:pPr>
              <w:spacing w:after="0"/>
              <w:contextualSpacing/>
              <w:jc w:val="both"/>
              <w:rPr>
                <w:rFonts w:eastAsia="Times New Roman"/>
                <w:color w:val="000000"/>
                <w:lang w:bidi="ne-NP"/>
              </w:rPr>
            </w:pPr>
            <w:r w:rsidRPr="004A782C">
              <w:rPr>
                <w:rFonts w:eastAsia="Times New Roman"/>
                <w:color w:val="000000"/>
                <w:lang w:bidi="ne-NP"/>
              </w:rPr>
              <w:t>Hindu</w:t>
            </w:r>
          </w:p>
        </w:tc>
        <w:tc>
          <w:tcPr>
            <w:tcW w:w="821" w:type="dxa"/>
            <w:shd w:val="clear" w:color="auto" w:fill="auto"/>
            <w:vAlign w:val="center"/>
          </w:tcPr>
          <w:p w14:paraId="7C770222" w14:textId="77777777" w:rsidR="00C92EDD" w:rsidRPr="004A782C" w:rsidRDefault="00C92EDD" w:rsidP="00B27EBA">
            <w:pPr>
              <w:spacing w:after="0"/>
              <w:contextualSpacing/>
              <w:jc w:val="both"/>
              <w:rPr>
                <w:color w:val="000000"/>
              </w:rPr>
            </w:pPr>
            <w:r w:rsidRPr="004A782C">
              <w:rPr>
                <w:color w:val="000000"/>
              </w:rPr>
              <w:t>5.55</w:t>
            </w:r>
          </w:p>
        </w:tc>
        <w:tc>
          <w:tcPr>
            <w:tcW w:w="820" w:type="dxa"/>
            <w:shd w:val="clear" w:color="auto" w:fill="auto"/>
            <w:vAlign w:val="center"/>
          </w:tcPr>
          <w:p w14:paraId="7C99DB18" w14:textId="77777777" w:rsidR="00C92EDD" w:rsidRPr="004A782C" w:rsidRDefault="00C92EDD" w:rsidP="00B27EBA">
            <w:pPr>
              <w:spacing w:after="0"/>
              <w:contextualSpacing/>
              <w:jc w:val="both"/>
              <w:rPr>
                <w:color w:val="000000"/>
              </w:rPr>
            </w:pPr>
            <w:r w:rsidRPr="004A782C">
              <w:rPr>
                <w:color w:val="000000"/>
              </w:rPr>
              <w:t>4.60</w:t>
            </w:r>
          </w:p>
        </w:tc>
        <w:tc>
          <w:tcPr>
            <w:tcW w:w="821" w:type="dxa"/>
            <w:shd w:val="clear" w:color="auto" w:fill="auto"/>
            <w:vAlign w:val="center"/>
          </w:tcPr>
          <w:p w14:paraId="35771497" w14:textId="77777777" w:rsidR="00C92EDD" w:rsidRPr="004A782C" w:rsidRDefault="00C92EDD" w:rsidP="00B27EBA">
            <w:pPr>
              <w:spacing w:after="0"/>
              <w:contextualSpacing/>
              <w:jc w:val="both"/>
              <w:rPr>
                <w:color w:val="000000"/>
              </w:rPr>
            </w:pPr>
            <w:r w:rsidRPr="004A782C">
              <w:rPr>
                <w:color w:val="000000"/>
              </w:rPr>
              <w:t>0.38</w:t>
            </w:r>
          </w:p>
        </w:tc>
        <w:tc>
          <w:tcPr>
            <w:tcW w:w="957" w:type="dxa"/>
            <w:shd w:val="clear" w:color="auto" w:fill="auto"/>
            <w:vAlign w:val="center"/>
          </w:tcPr>
          <w:p w14:paraId="345DBBD9" w14:textId="77777777" w:rsidR="00C92EDD" w:rsidRPr="004A782C" w:rsidRDefault="00C92EDD" w:rsidP="00B27EBA">
            <w:pPr>
              <w:spacing w:after="0"/>
              <w:contextualSpacing/>
              <w:jc w:val="both"/>
              <w:rPr>
                <w:color w:val="000000"/>
              </w:rPr>
            </w:pPr>
            <w:r w:rsidRPr="004A782C">
              <w:rPr>
                <w:color w:val="000000"/>
              </w:rPr>
              <w:t>40.01</w:t>
            </w:r>
          </w:p>
        </w:tc>
        <w:tc>
          <w:tcPr>
            <w:tcW w:w="836" w:type="dxa"/>
            <w:shd w:val="clear" w:color="auto" w:fill="auto"/>
            <w:vAlign w:val="center"/>
          </w:tcPr>
          <w:p w14:paraId="0AFC4941" w14:textId="77777777" w:rsidR="00C92EDD" w:rsidRPr="004A782C" w:rsidRDefault="00C92EDD" w:rsidP="00B27EBA">
            <w:pPr>
              <w:spacing w:after="0"/>
              <w:contextualSpacing/>
              <w:jc w:val="both"/>
              <w:rPr>
                <w:color w:val="000000"/>
              </w:rPr>
            </w:pPr>
            <w:r w:rsidRPr="004A782C">
              <w:rPr>
                <w:color w:val="000000"/>
              </w:rPr>
              <w:t>0.706</w:t>
            </w:r>
          </w:p>
        </w:tc>
      </w:tr>
      <w:tr w:rsidR="00C64C95" w:rsidRPr="004A782C" w14:paraId="792A419C" w14:textId="77777777" w:rsidTr="00EE3BE0">
        <w:trPr>
          <w:trHeight w:val="290"/>
        </w:trPr>
        <w:tc>
          <w:tcPr>
            <w:tcW w:w="2326" w:type="dxa"/>
            <w:shd w:val="clear" w:color="auto" w:fill="auto"/>
            <w:vAlign w:val="center"/>
          </w:tcPr>
          <w:p w14:paraId="205F1D60"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shd w:val="clear" w:color="auto" w:fill="auto"/>
            <w:vAlign w:val="center"/>
          </w:tcPr>
          <w:p w14:paraId="7BF6A3FE" w14:textId="77777777" w:rsidR="00C64C95" w:rsidRPr="004A782C" w:rsidRDefault="00C64C95"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821" w:type="dxa"/>
            <w:shd w:val="clear" w:color="auto" w:fill="auto"/>
            <w:vAlign w:val="center"/>
          </w:tcPr>
          <w:p w14:paraId="3FFE4959" w14:textId="77777777" w:rsidR="00C64C95" w:rsidRPr="004A782C" w:rsidRDefault="00C64C95" w:rsidP="00B27EBA">
            <w:pPr>
              <w:spacing w:after="0"/>
              <w:contextualSpacing/>
              <w:jc w:val="both"/>
              <w:rPr>
                <w:color w:val="000000"/>
              </w:rPr>
            </w:pPr>
            <w:r w:rsidRPr="004A782C">
              <w:rPr>
                <w:color w:val="000000"/>
              </w:rPr>
              <w:t>5.24</w:t>
            </w:r>
          </w:p>
        </w:tc>
        <w:tc>
          <w:tcPr>
            <w:tcW w:w="820" w:type="dxa"/>
            <w:shd w:val="clear" w:color="auto" w:fill="auto"/>
            <w:vAlign w:val="center"/>
          </w:tcPr>
          <w:p w14:paraId="1950C1C3" w14:textId="77777777" w:rsidR="00C64C95" w:rsidRPr="004A782C" w:rsidRDefault="00C64C95" w:rsidP="00B27EBA">
            <w:pPr>
              <w:spacing w:after="0"/>
              <w:contextualSpacing/>
              <w:jc w:val="both"/>
              <w:rPr>
                <w:color w:val="000000"/>
              </w:rPr>
            </w:pPr>
            <w:r w:rsidRPr="004A782C">
              <w:rPr>
                <w:color w:val="000000"/>
              </w:rPr>
              <w:t>4.32</w:t>
            </w:r>
          </w:p>
        </w:tc>
        <w:tc>
          <w:tcPr>
            <w:tcW w:w="821" w:type="dxa"/>
            <w:shd w:val="clear" w:color="auto" w:fill="auto"/>
            <w:vAlign w:val="bottom"/>
          </w:tcPr>
          <w:p w14:paraId="4A2614EE" w14:textId="77777777" w:rsidR="00C64C95" w:rsidRPr="004A782C" w:rsidRDefault="00C64C95" w:rsidP="00B27EBA">
            <w:pPr>
              <w:spacing w:after="0"/>
              <w:contextualSpacing/>
              <w:jc w:val="both"/>
              <w:rPr>
                <w:color w:val="000000"/>
              </w:rPr>
            </w:pPr>
          </w:p>
        </w:tc>
        <w:tc>
          <w:tcPr>
            <w:tcW w:w="957" w:type="dxa"/>
            <w:shd w:val="clear" w:color="auto" w:fill="auto"/>
            <w:vAlign w:val="bottom"/>
          </w:tcPr>
          <w:p w14:paraId="31FDC60E" w14:textId="77777777" w:rsidR="00C64C95" w:rsidRPr="004A782C" w:rsidRDefault="00C64C95" w:rsidP="00B27EBA">
            <w:pPr>
              <w:spacing w:after="0"/>
              <w:contextualSpacing/>
              <w:jc w:val="both"/>
            </w:pPr>
          </w:p>
        </w:tc>
        <w:tc>
          <w:tcPr>
            <w:tcW w:w="836" w:type="dxa"/>
            <w:shd w:val="clear" w:color="auto" w:fill="auto"/>
            <w:vAlign w:val="bottom"/>
          </w:tcPr>
          <w:p w14:paraId="6FA3C786" w14:textId="77777777" w:rsidR="00C64C95" w:rsidRPr="004A782C" w:rsidRDefault="00C64C95" w:rsidP="00B27EBA">
            <w:pPr>
              <w:spacing w:after="0"/>
              <w:contextualSpacing/>
              <w:jc w:val="both"/>
            </w:pPr>
          </w:p>
        </w:tc>
      </w:tr>
      <w:tr w:rsidR="00C64C95" w:rsidRPr="004A782C" w14:paraId="69B6682E" w14:textId="77777777" w:rsidTr="00EE3BE0">
        <w:trPr>
          <w:trHeight w:val="290"/>
        </w:trPr>
        <w:tc>
          <w:tcPr>
            <w:tcW w:w="2326" w:type="dxa"/>
            <w:shd w:val="clear" w:color="auto" w:fill="auto"/>
            <w:vAlign w:val="center"/>
          </w:tcPr>
          <w:p w14:paraId="6523E718" w14:textId="58EE5A70"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ATMHP</w:t>
            </w:r>
            <w:r w:rsidR="00C92EDD" w:rsidRPr="004A782C">
              <w:rPr>
                <w:rFonts w:eastAsia="Times New Roman"/>
                <w:color w:val="000000" w:themeColor="text1"/>
                <w:lang w:bidi="ne-NP"/>
              </w:rPr>
              <w:t xml:space="preserve"> Total</w:t>
            </w:r>
            <w:r w:rsidRPr="004A782C">
              <w:rPr>
                <w:rFonts w:eastAsia="Times New Roman"/>
                <w:color w:val="000000" w:themeColor="text1"/>
                <w:lang w:bidi="ne-NP"/>
              </w:rPr>
              <w:t xml:space="preserve"> </w:t>
            </w:r>
          </w:p>
        </w:tc>
        <w:tc>
          <w:tcPr>
            <w:tcW w:w="2184" w:type="dxa"/>
            <w:shd w:val="clear" w:color="auto" w:fill="auto"/>
            <w:vAlign w:val="center"/>
          </w:tcPr>
          <w:p w14:paraId="2D657370" w14:textId="77777777" w:rsidR="00C64C95" w:rsidRPr="004A782C" w:rsidRDefault="00C64C95" w:rsidP="00B27EBA">
            <w:pPr>
              <w:spacing w:after="0"/>
              <w:contextualSpacing/>
              <w:jc w:val="both"/>
              <w:rPr>
                <w:rFonts w:eastAsia="Times New Roman"/>
                <w:color w:val="000000"/>
                <w:lang w:bidi="ne-NP"/>
              </w:rPr>
            </w:pPr>
            <w:r w:rsidRPr="004A782C">
              <w:rPr>
                <w:rFonts w:eastAsia="Times New Roman"/>
                <w:color w:val="000000"/>
                <w:lang w:bidi="ne-NP"/>
              </w:rPr>
              <w:t>Hindu</w:t>
            </w:r>
          </w:p>
        </w:tc>
        <w:tc>
          <w:tcPr>
            <w:tcW w:w="821" w:type="dxa"/>
            <w:shd w:val="clear" w:color="auto" w:fill="auto"/>
            <w:vAlign w:val="center"/>
          </w:tcPr>
          <w:p w14:paraId="280A62DC" w14:textId="77777777" w:rsidR="00C64C95" w:rsidRPr="004A782C" w:rsidRDefault="00C64C95" w:rsidP="00B27EBA">
            <w:pPr>
              <w:spacing w:after="0"/>
              <w:contextualSpacing/>
              <w:jc w:val="both"/>
              <w:rPr>
                <w:color w:val="000000"/>
              </w:rPr>
            </w:pPr>
            <w:r w:rsidRPr="004A782C">
              <w:rPr>
                <w:color w:val="000000"/>
              </w:rPr>
              <w:t>34.33</w:t>
            </w:r>
          </w:p>
        </w:tc>
        <w:tc>
          <w:tcPr>
            <w:tcW w:w="820" w:type="dxa"/>
            <w:shd w:val="clear" w:color="auto" w:fill="auto"/>
            <w:vAlign w:val="center"/>
          </w:tcPr>
          <w:p w14:paraId="317F5D3A" w14:textId="77777777" w:rsidR="00C64C95" w:rsidRPr="004A782C" w:rsidRDefault="00C64C95" w:rsidP="00B27EBA">
            <w:pPr>
              <w:spacing w:after="0"/>
              <w:contextualSpacing/>
              <w:jc w:val="both"/>
              <w:rPr>
                <w:color w:val="000000"/>
              </w:rPr>
            </w:pPr>
            <w:r w:rsidRPr="004A782C">
              <w:rPr>
                <w:color w:val="000000"/>
              </w:rPr>
              <w:t>19.48</w:t>
            </w:r>
          </w:p>
        </w:tc>
        <w:tc>
          <w:tcPr>
            <w:tcW w:w="821" w:type="dxa"/>
            <w:shd w:val="clear" w:color="auto" w:fill="auto"/>
            <w:vAlign w:val="center"/>
          </w:tcPr>
          <w:p w14:paraId="7E284299" w14:textId="77777777" w:rsidR="00C64C95" w:rsidRPr="004A782C" w:rsidRDefault="00C64C95" w:rsidP="00B27EBA">
            <w:pPr>
              <w:spacing w:after="0"/>
              <w:contextualSpacing/>
              <w:jc w:val="both"/>
              <w:rPr>
                <w:color w:val="000000"/>
              </w:rPr>
            </w:pPr>
            <w:r w:rsidRPr="004A782C">
              <w:rPr>
                <w:color w:val="000000"/>
              </w:rPr>
              <w:t>-0.31</w:t>
            </w:r>
          </w:p>
        </w:tc>
        <w:tc>
          <w:tcPr>
            <w:tcW w:w="957" w:type="dxa"/>
            <w:shd w:val="clear" w:color="auto" w:fill="auto"/>
            <w:vAlign w:val="center"/>
          </w:tcPr>
          <w:p w14:paraId="698FE130" w14:textId="77777777" w:rsidR="00C64C95" w:rsidRPr="004A782C" w:rsidRDefault="00C64C95" w:rsidP="00B27EBA">
            <w:pPr>
              <w:spacing w:after="0"/>
              <w:contextualSpacing/>
              <w:jc w:val="both"/>
              <w:rPr>
                <w:color w:val="000000"/>
              </w:rPr>
            </w:pPr>
            <w:r w:rsidRPr="004A782C">
              <w:rPr>
                <w:color w:val="000000"/>
              </w:rPr>
              <w:t>38.44</w:t>
            </w:r>
          </w:p>
        </w:tc>
        <w:tc>
          <w:tcPr>
            <w:tcW w:w="836" w:type="dxa"/>
            <w:shd w:val="clear" w:color="auto" w:fill="auto"/>
            <w:vAlign w:val="center"/>
          </w:tcPr>
          <w:p w14:paraId="4FBEE725" w14:textId="77777777" w:rsidR="00C64C95" w:rsidRPr="004A782C" w:rsidRDefault="00C64C95" w:rsidP="00B27EBA">
            <w:pPr>
              <w:spacing w:after="0"/>
              <w:contextualSpacing/>
              <w:jc w:val="both"/>
              <w:rPr>
                <w:color w:val="000000"/>
              </w:rPr>
            </w:pPr>
            <w:r w:rsidRPr="004A782C">
              <w:rPr>
                <w:color w:val="000000"/>
              </w:rPr>
              <w:t>0.757</w:t>
            </w:r>
          </w:p>
        </w:tc>
      </w:tr>
      <w:tr w:rsidR="00C64C95" w:rsidRPr="004A782C" w14:paraId="2F196583" w14:textId="77777777" w:rsidTr="00EE3BE0">
        <w:trPr>
          <w:trHeight w:val="290"/>
        </w:trPr>
        <w:tc>
          <w:tcPr>
            <w:tcW w:w="2326" w:type="dxa"/>
            <w:tcBorders>
              <w:bottom w:val="single" w:sz="4" w:space="0" w:color="auto"/>
            </w:tcBorders>
            <w:shd w:val="clear" w:color="auto" w:fill="auto"/>
            <w:vAlign w:val="center"/>
          </w:tcPr>
          <w:p w14:paraId="15C7A293"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tcBorders>
              <w:bottom w:val="single" w:sz="4" w:space="0" w:color="auto"/>
            </w:tcBorders>
            <w:shd w:val="clear" w:color="auto" w:fill="auto"/>
            <w:vAlign w:val="center"/>
          </w:tcPr>
          <w:p w14:paraId="26B4B087" w14:textId="77777777" w:rsidR="00C64C95" w:rsidRPr="004A782C" w:rsidRDefault="00C64C95" w:rsidP="00B27EBA">
            <w:pPr>
              <w:spacing w:after="0"/>
              <w:contextualSpacing/>
              <w:jc w:val="both"/>
              <w:rPr>
                <w:rFonts w:eastAsia="Times New Roman"/>
                <w:color w:val="000000"/>
                <w:lang w:bidi="ne-NP"/>
              </w:rPr>
            </w:pPr>
            <w:r w:rsidRPr="004A782C">
              <w:rPr>
                <w:rFonts w:eastAsia="Times New Roman"/>
                <w:color w:val="000000"/>
                <w:lang w:bidi="ne-NP"/>
              </w:rPr>
              <w:t>Others</w:t>
            </w:r>
          </w:p>
        </w:tc>
        <w:tc>
          <w:tcPr>
            <w:tcW w:w="821" w:type="dxa"/>
            <w:tcBorders>
              <w:bottom w:val="single" w:sz="4" w:space="0" w:color="auto"/>
            </w:tcBorders>
            <w:shd w:val="clear" w:color="auto" w:fill="auto"/>
            <w:vAlign w:val="center"/>
          </w:tcPr>
          <w:p w14:paraId="7CE4FDAF" w14:textId="77777777" w:rsidR="00C64C95" w:rsidRPr="004A782C" w:rsidRDefault="00C64C95" w:rsidP="00B27EBA">
            <w:pPr>
              <w:spacing w:after="0"/>
              <w:contextualSpacing/>
              <w:jc w:val="both"/>
              <w:rPr>
                <w:color w:val="000000"/>
              </w:rPr>
            </w:pPr>
            <w:r w:rsidRPr="004A782C">
              <w:rPr>
                <w:color w:val="000000"/>
              </w:rPr>
              <w:t>35.49</w:t>
            </w:r>
          </w:p>
        </w:tc>
        <w:tc>
          <w:tcPr>
            <w:tcW w:w="820" w:type="dxa"/>
            <w:tcBorders>
              <w:bottom w:val="single" w:sz="4" w:space="0" w:color="auto"/>
            </w:tcBorders>
            <w:shd w:val="clear" w:color="auto" w:fill="auto"/>
            <w:vAlign w:val="center"/>
          </w:tcPr>
          <w:p w14:paraId="77E53030" w14:textId="77777777" w:rsidR="00C64C95" w:rsidRPr="004A782C" w:rsidRDefault="00C64C95" w:rsidP="00B27EBA">
            <w:pPr>
              <w:spacing w:after="0"/>
              <w:contextualSpacing/>
              <w:jc w:val="both"/>
              <w:rPr>
                <w:color w:val="000000"/>
              </w:rPr>
            </w:pPr>
            <w:r w:rsidRPr="004A782C">
              <w:rPr>
                <w:color w:val="000000"/>
              </w:rPr>
              <w:t>20.33</w:t>
            </w:r>
          </w:p>
        </w:tc>
        <w:tc>
          <w:tcPr>
            <w:tcW w:w="821" w:type="dxa"/>
            <w:tcBorders>
              <w:bottom w:val="single" w:sz="4" w:space="0" w:color="auto"/>
            </w:tcBorders>
            <w:shd w:val="clear" w:color="auto" w:fill="auto"/>
            <w:vAlign w:val="bottom"/>
          </w:tcPr>
          <w:p w14:paraId="2E7686F7" w14:textId="77777777" w:rsidR="00C64C95" w:rsidRPr="004A782C" w:rsidRDefault="00C64C95" w:rsidP="00B27EBA">
            <w:pPr>
              <w:spacing w:after="0"/>
              <w:contextualSpacing/>
              <w:jc w:val="both"/>
              <w:rPr>
                <w:rFonts w:eastAsia="Times New Roman"/>
                <w:color w:val="000000"/>
                <w:lang w:bidi="ne-NP"/>
              </w:rPr>
            </w:pPr>
          </w:p>
        </w:tc>
        <w:tc>
          <w:tcPr>
            <w:tcW w:w="957" w:type="dxa"/>
            <w:tcBorders>
              <w:bottom w:val="single" w:sz="4" w:space="0" w:color="auto"/>
            </w:tcBorders>
            <w:shd w:val="clear" w:color="auto" w:fill="auto"/>
            <w:vAlign w:val="bottom"/>
          </w:tcPr>
          <w:p w14:paraId="1424905E" w14:textId="77777777" w:rsidR="00C64C95" w:rsidRPr="004A782C" w:rsidRDefault="00C64C95" w:rsidP="00B27EBA">
            <w:pPr>
              <w:spacing w:after="0"/>
              <w:contextualSpacing/>
              <w:jc w:val="both"/>
              <w:rPr>
                <w:rFonts w:eastAsia="Times New Roman"/>
                <w:lang w:bidi="ne-NP"/>
              </w:rPr>
            </w:pPr>
          </w:p>
        </w:tc>
        <w:tc>
          <w:tcPr>
            <w:tcW w:w="836" w:type="dxa"/>
            <w:tcBorders>
              <w:bottom w:val="single" w:sz="4" w:space="0" w:color="auto"/>
            </w:tcBorders>
            <w:shd w:val="clear" w:color="auto" w:fill="auto"/>
            <w:vAlign w:val="bottom"/>
          </w:tcPr>
          <w:p w14:paraId="59C3296F" w14:textId="77777777" w:rsidR="00C64C95" w:rsidRPr="004A782C" w:rsidRDefault="00C64C95" w:rsidP="00B27EBA">
            <w:pPr>
              <w:spacing w:after="0"/>
              <w:contextualSpacing/>
              <w:jc w:val="both"/>
              <w:rPr>
                <w:rFonts w:eastAsia="Times New Roman"/>
                <w:lang w:bidi="ne-NP"/>
              </w:rPr>
            </w:pPr>
          </w:p>
        </w:tc>
      </w:tr>
      <w:tr w:rsidR="00C64C95" w:rsidRPr="004A782C" w14:paraId="59C7D682" w14:textId="77777777" w:rsidTr="00EE3BE0">
        <w:trPr>
          <w:trHeight w:val="283"/>
        </w:trPr>
        <w:tc>
          <w:tcPr>
            <w:tcW w:w="8765" w:type="dxa"/>
            <w:gridSpan w:val="7"/>
            <w:tcBorders>
              <w:top w:val="single" w:sz="4" w:space="0" w:color="auto"/>
              <w:bottom w:val="single" w:sz="4" w:space="0" w:color="auto"/>
            </w:tcBorders>
            <w:shd w:val="clear" w:color="auto" w:fill="auto"/>
            <w:vAlign w:val="center"/>
            <w:hideMark/>
          </w:tcPr>
          <w:p w14:paraId="7C58126D"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Academic Levels [Bachelor’s Degree (</w:t>
            </w:r>
            <w:r w:rsidRPr="004A782C">
              <w:rPr>
                <w:rFonts w:eastAsia="Times New Roman"/>
                <w:i/>
                <w:iCs/>
                <w:color w:val="000000" w:themeColor="text1"/>
                <w:lang w:bidi="ne-NP"/>
              </w:rPr>
              <w:t>N</w:t>
            </w:r>
            <w:r w:rsidRPr="004A782C">
              <w:rPr>
                <w:rFonts w:eastAsia="Times New Roman"/>
                <w:color w:val="000000" w:themeColor="text1"/>
                <w:lang w:bidi="ne-NP"/>
              </w:rPr>
              <w:t xml:space="preserve"> = 295), High School Degree (</w:t>
            </w:r>
            <w:r w:rsidRPr="004A782C">
              <w:rPr>
                <w:rFonts w:eastAsia="Times New Roman"/>
                <w:i/>
                <w:iCs/>
                <w:color w:val="000000" w:themeColor="text1"/>
                <w:lang w:bidi="ne-NP"/>
              </w:rPr>
              <w:t>N</w:t>
            </w:r>
            <w:r w:rsidRPr="004A782C">
              <w:rPr>
                <w:rFonts w:eastAsia="Times New Roman"/>
                <w:color w:val="000000" w:themeColor="text1"/>
                <w:lang w:bidi="ne-NP"/>
              </w:rPr>
              <w:t xml:space="preserve"> = 53)]</w:t>
            </w:r>
          </w:p>
        </w:tc>
      </w:tr>
      <w:tr w:rsidR="00C92EDD" w:rsidRPr="004A782C" w14:paraId="2F89B1B6" w14:textId="77777777" w:rsidTr="00EE3BE0">
        <w:trPr>
          <w:trHeight w:val="257"/>
        </w:trPr>
        <w:tc>
          <w:tcPr>
            <w:tcW w:w="2326" w:type="dxa"/>
            <w:tcBorders>
              <w:top w:val="single" w:sz="4" w:space="0" w:color="auto"/>
            </w:tcBorders>
            <w:shd w:val="clear" w:color="auto" w:fill="auto"/>
            <w:vAlign w:val="center"/>
            <w:hideMark/>
          </w:tcPr>
          <w:p w14:paraId="627D1D41" w14:textId="78AE1CA1"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ATMHP </w:t>
            </w:r>
            <w:r w:rsidRPr="004A782C">
              <w:rPr>
                <w:rFonts w:eastAsia="Times New Roman"/>
                <w:color w:val="000000"/>
                <w:lang w:bidi="ne-NP"/>
              </w:rPr>
              <w:t>Factor</w:t>
            </w:r>
          </w:p>
        </w:tc>
        <w:tc>
          <w:tcPr>
            <w:tcW w:w="2184" w:type="dxa"/>
            <w:tcBorders>
              <w:top w:val="single" w:sz="4" w:space="0" w:color="auto"/>
            </w:tcBorders>
            <w:shd w:val="clear" w:color="auto" w:fill="auto"/>
            <w:vAlign w:val="center"/>
            <w:hideMark/>
          </w:tcPr>
          <w:p w14:paraId="74D83342"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Bachelor's Degree</w:t>
            </w:r>
          </w:p>
        </w:tc>
        <w:tc>
          <w:tcPr>
            <w:tcW w:w="821" w:type="dxa"/>
            <w:tcBorders>
              <w:top w:val="single" w:sz="4" w:space="0" w:color="auto"/>
            </w:tcBorders>
            <w:shd w:val="clear" w:color="auto" w:fill="auto"/>
            <w:vAlign w:val="center"/>
            <w:hideMark/>
          </w:tcPr>
          <w:p w14:paraId="2533535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9.08</w:t>
            </w:r>
          </w:p>
        </w:tc>
        <w:tc>
          <w:tcPr>
            <w:tcW w:w="820" w:type="dxa"/>
            <w:tcBorders>
              <w:top w:val="single" w:sz="4" w:space="0" w:color="auto"/>
            </w:tcBorders>
            <w:shd w:val="clear" w:color="auto" w:fill="auto"/>
            <w:vAlign w:val="center"/>
            <w:hideMark/>
          </w:tcPr>
          <w:p w14:paraId="3D117E95"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5.17</w:t>
            </w:r>
          </w:p>
        </w:tc>
        <w:tc>
          <w:tcPr>
            <w:tcW w:w="821" w:type="dxa"/>
            <w:tcBorders>
              <w:top w:val="single" w:sz="4" w:space="0" w:color="auto"/>
            </w:tcBorders>
            <w:shd w:val="clear" w:color="auto" w:fill="auto"/>
            <w:vAlign w:val="center"/>
            <w:hideMark/>
          </w:tcPr>
          <w:p w14:paraId="633200A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1.57</w:t>
            </w:r>
          </w:p>
        </w:tc>
        <w:tc>
          <w:tcPr>
            <w:tcW w:w="957" w:type="dxa"/>
            <w:tcBorders>
              <w:top w:val="single" w:sz="4" w:space="0" w:color="auto"/>
            </w:tcBorders>
            <w:shd w:val="clear" w:color="auto" w:fill="auto"/>
            <w:vAlign w:val="center"/>
            <w:hideMark/>
          </w:tcPr>
          <w:p w14:paraId="104F0CEA"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71.99</w:t>
            </w:r>
          </w:p>
        </w:tc>
        <w:tc>
          <w:tcPr>
            <w:tcW w:w="836" w:type="dxa"/>
            <w:tcBorders>
              <w:top w:val="single" w:sz="4" w:space="0" w:color="auto"/>
            </w:tcBorders>
            <w:shd w:val="clear" w:color="auto" w:fill="auto"/>
            <w:vAlign w:val="center"/>
            <w:hideMark/>
          </w:tcPr>
          <w:p w14:paraId="43AF1A1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0.122</w:t>
            </w:r>
          </w:p>
        </w:tc>
      </w:tr>
      <w:tr w:rsidR="00C92EDD" w:rsidRPr="004A782C" w14:paraId="39859B8D" w14:textId="77777777" w:rsidTr="00EE3BE0">
        <w:trPr>
          <w:trHeight w:val="235"/>
        </w:trPr>
        <w:tc>
          <w:tcPr>
            <w:tcW w:w="2326" w:type="dxa"/>
            <w:shd w:val="clear" w:color="auto" w:fill="auto"/>
            <w:vAlign w:val="center"/>
            <w:hideMark/>
          </w:tcPr>
          <w:p w14:paraId="50737187"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77D71CC9"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High School Degree</w:t>
            </w:r>
          </w:p>
        </w:tc>
        <w:tc>
          <w:tcPr>
            <w:tcW w:w="821" w:type="dxa"/>
            <w:shd w:val="clear" w:color="auto" w:fill="auto"/>
            <w:vAlign w:val="center"/>
            <w:hideMark/>
          </w:tcPr>
          <w:p w14:paraId="12783592"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7.87</w:t>
            </w:r>
          </w:p>
        </w:tc>
        <w:tc>
          <w:tcPr>
            <w:tcW w:w="820" w:type="dxa"/>
            <w:shd w:val="clear" w:color="auto" w:fill="auto"/>
            <w:vAlign w:val="center"/>
            <w:hideMark/>
          </w:tcPr>
          <w:p w14:paraId="28ABE0E8"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5.17</w:t>
            </w:r>
          </w:p>
        </w:tc>
        <w:tc>
          <w:tcPr>
            <w:tcW w:w="821" w:type="dxa"/>
            <w:shd w:val="clear" w:color="auto" w:fill="auto"/>
            <w:noWrap/>
            <w:vAlign w:val="bottom"/>
            <w:hideMark/>
          </w:tcPr>
          <w:p w14:paraId="64DFE6F7"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noWrap/>
            <w:vAlign w:val="bottom"/>
            <w:hideMark/>
          </w:tcPr>
          <w:p w14:paraId="7CAC84E4"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noWrap/>
            <w:vAlign w:val="bottom"/>
            <w:hideMark/>
          </w:tcPr>
          <w:p w14:paraId="01732601"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3DFA32F2" w14:textId="77777777" w:rsidTr="00EE3BE0">
        <w:trPr>
          <w:trHeight w:val="241"/>
        </w:trPr>
        <w:tc>
          <w:tcPr>
            <w:tcW w:w="2326" w:type="dxa"/>
            <w:shd w:val="clear" w:color="auto" w:fill="auto"/>
            <w:vAlign w:val="center"/>
            <w:hideMark/>
          </w:tcPr>
          <w:p w14:paraId="55AD49FD" w14:textId="26099EFC"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ES </w:t>
            </w:r>
            <w:r w:rsidRPr="004A782C">
              <w:rPr>
                <w:rFonts w:eastAsia="Times New Roman"/>
                <w:color w:val="000000"/>
                <w:lang w:bidi="ne-NP"/>
              </w:rPr>
              <w:t>Factor</w:t>
            </w:r>
          </w:p>
        </w:tc>
        <w:tc>
          <w:tcPr>
            <w:tcW w:w="2184" w:type="dxa"/>
            <w:shd w:val="clear" w:color="auto" w:fill="auto"/>
            <w:vAlign w:val="center"/>
            <w:hideMark/>
          </w:tcPr>
          <w:p w14:paraId="73FC4513"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Bachelor's Degree</w:t>
            </w:r>
          </w:p>
        </w:tc>
        <w:tc>
          <w:tcPr>
            <w:tcW w:w="821" w:type="dxa"/>
            <w:shd w:val="clear" w:color="auto" w:fill="auto"/>
            <w:vAlign w:val="center"/>
            <w:hideMark/>
          </w:tcPr>
          <w:p w14:paraId="2FF2E5C3"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8.42</w:t>
            </w:r>
          </w:p>
        </w:tc>
        <w:tc>
          <w:tcPr>
            <w:tcW w:w="820" w:type="dxa"/>
            <w:shd w:val="clear" w:color="auto" w:fill="auto"/>
            <w:vAlign w:val="center"/>
            <w:hideMark/>
          </w:tcPr>
          <w:p w14:paraId="1465270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6.80</w:t>
            </w:r>
          </w:p>
        </w:tc>
        <w:tc>
          <w:tcPr>
            <w:tcW w:w="821" w:type="dxa"/>
            <w:shd w:val="clear" w:color="auto" w:fill="auto"/>
            <w:vAlign w:val="center"/>
            <w:hideMark/>
          </w:tcPr>
          <w:p w14:paraId="07982D4A"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0.67</w:t>
            </w:r>
          </w:p>
        </w:tc>
        <w:tc>
          <w:tcPr>
            <w:tcW w:w="957" w:type="dxa"/>
            <w:shd w:val="clear" w:color="auto" w:fill="auto"/>
            <w:vAlign w:val="center"/>
            <w:hideMark/>
          </w:tcPr>
          <w:p w14:paraId="740E244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69.46</w:t>
            </w:r>
          </w:p>
        </w:tc>
        <w:tc>
          <w:tcPr>
            <w:tcW w:w="836" w:type="dxa"/>
            <w:shd w:val="clear" w:color="auto" w:fill="auto"/>
            <w:vAlign w:val="center"/>
            <w:hideMark/>
          </w:tcPr>
          <w:p w14:paraId="5D91D08A"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0.502</w:t>
            </w:r>
          </w:p>
        </w:tc>
      </w:tr>
      <w:tr w:rsidR="00C92EDD" w:rsidRPr="004A782C" w14:paraId="6091823F" w14:textId="77777777" w:rsidTr="00EE3BE0">
        <w:trPr>
          <w:trHeight w:val="106"/>
        </w:trPr>
        <w:tc>
          <w:tcPr>
            <w:tcW w:w="2326" w:type="dxa"/>
            <w:shd w:val="clear" w:color="auto" w:fill="auto"/>
            <w:vAlign w:val="center"/>
            <w:hideMark/>
          </w:tcPr>
          <w:p w14:paraId="42814E92"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75B01D03"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High School Degree</w:t>
            </w:r>
          </w:p>
        </w:tc>
        <w:tc>
          <w:tcPr>
            <w:tcW w:w="821" w:type="dxa"/>
            <w:shd w:val="clear" w:color="auto" w:fill="auto"/>
            <w:vAlign w:val="center"/>
            <w:hideMark/>
          </w:tcPr>
          <w:p w14:paraId="00560477"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7.70</w:t>
            </w:r>
          </w:p>
        </w:tc>
        <w:tc>
          <w:tcPr>
            <w:tcW w:w="820" w:type="dxa"/>
            <w:shd w:val="clear" w:color="auto" w:fill="auto"/>
            <w:vAlign w:val="center"/>
            <w:hideMark/>
          </w:tcPr>
          <w:p w14:paraId="7EF5ECD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7.25</w:t>
            </w:r>
          </w:p>
        </w:tc>
        <w:tc>
          <w:tcPr>
            <w:tcW w:w="821" w:type="dxa"/>
            <w:shd w:val="clear" w:color="auto" w:fill="auto"/>
            <w:noWrap/>
            <w:vAlign w:val="bottom"/>
            <w:hideMark/>
          </w:tcPr>
          <w:p w14:paraId="3B8B18D8"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noWrap/>
            <w:vAlign w:val="bottom"/>
            <w:hideMark/>
          </w:tcPr>
          <w:p w14:paraId="6244F58D"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noWrap/>
            <w:vAlign w:val="bottom"/>
            <w:hideMark/>
          </w:tcPr>
          <w:p w14:paraId="0A8D0F52"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7E1610D8" w14:textId="77777777" w:rsidTr="00EE3BE0">
        <w:trPr>
          <w:trHeight w:val="289"/>
        </w:trPr>
        <w:tc>
          <w:tcPr>
            <w:tcW w:w="2326" w:type="dxa"/>
            <w:shd w:val="clear" w:color="auto" w:fill="auto"/>
            <w:vAlign w:val="center"/>
            <w:hideMark/>
          </w:tcPr>
          <w:p w14:paraId="493E9356" w14:textId="580B69A1"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IS </w:t>
            </w:r>
            <w:r w:rsidRPr="004A782C">
              <w:rPr>
                <w:rFonts w:eastAsia="Times New Roman"/>
                <w:color w:val="000000"/>
                <w:lang w:bidi="ne-NP"/>
              </w:rPr>
              <w:t>Factor</w:t>
            </w:r>
          </w:p>
        </w:tc>
        <w:tc>
          <w:tcPr>
            <w:tcW w:w="2184" w:type="dxa"/>
            <w:shd w:val="clear" w:color="auto" w:fill="auto"/>
            <w:vAlign w:val="center"/>
            <w:hideMark/>
          </w:tcPr>
          <w:p w14:paraId="00A72C07"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Bachelor's Degree</w:t>
            </w:r>
          </w:p>
        </w:tc>
        <w:tc>
          <w:tcPr>
            <w:tcW w:w="821" w:type="dxa"/>
            <w:shd w:val="clear" w:color="auto" w:fill="auto"/>
            <w:vAlign w:val="center"/>
            <w:hideMark/>
          </w:tcPr>
          <w:p w14:paraId="2850BD98"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3.90</w:t>
            </w:r>
          </w:p>
        </w:tc>
        <w:tc>
          <w:tcPr>
            <w:tcW w:w="820" w:type="dxa"/>
            <w:shd w:val="clear" w:color="auto" w:fill="auto"/>
            <w:vAlign w:val="center"/>
            <w:hideMark/>
          </w:tcPr>
          <w:p w14:paraId="3C863AC6"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3.74</w:t>
            </w:r>
          </w:p>
        </w:tc>
        <w:tc>
          <w:tcPr>
            <w:tcW w:w="821" w:type="dxa"/>
            <w:shd w:val="clear" w:color="auto" w:fill="auto"/>
            <w:vAlign w:val="center"/>
            <w:hideMark/>
          </w:tcPr>
          <w:p w14:paraId="04899902"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1.40</w:t>
            </w:r>
          </w:p>
        </w:tc>
        <w:tc>
          <w:tcPr>
            <w:tcW w:w="957" w:type="dxa"/>
            <w:shd w:val="clear" w:color="auto" w:fill="auto"/>
            <w:vAlign w:val="center"/>
            <w:hideMark/>
          </w:tcPr>
          <w:p w14:paraId="2DBFA01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75.65</w:t>
            </w:r>
          </w:p>
        </w:tc>
        <w:tc>
          <w:tcPr>
            <w:tcW w:w="836" w:type="dxa"/>
            <w:shd w:val="clear" w:color="auto" w:fill="auto"/>
            <w:vAlign w:val="center"/>
            <w:hideMark/>
          </w:tcPr>
          <w:p w14:paraId="2B6C8AD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0.167</w:t>
            </w:r>
          </w:p>
        </w:tc>
      </w:tr>
      <w:tr w:rsidR="00C92EDD" w:rsidRPr="004A782C" w14:paraId="6CE20335" w14:textId="77777777" w:rsidTr="00EE3BE0">
        <w:trPr>
          <w:trHeight w:val="70"/>
        </w:trPr>
        <w:tc>
          <w:tcPr>
            <w:tcW w:w="2326" w:type="dxa"/>
            <w:shd w:val="clear" w:color="auto" w:fill="auto"/>
            <w:vAlign w:val="center"/>
            <w:hideMark/>
          </w:tcPr>
          <w:p w14:paraId="2F913305"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705F06BA"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High School Degree</w:t>
            </w:r>
          </w:p>
        </w:tc>
        <w:tc>
          <w:tcPr>
            <w:tcW w:w="821" w:type="dxa"/>
            <w:shd w:val="clear" w:color="auto" w:fill="auto"/>
            <w:vAlign w:val="center"/>
            <w:hideMark/>
          </w:tcPr>
          <w:p w14:paraId="08920B7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3.17</w:t>
            </w:r>
          </w:p>
        </w:tc>
        <w:tc>
          <w:tcPr>
            <w:tcW w:w="820" w:type="dxa"/>
            <w:shd w:val="clear" w:color="auto" w:fill="auto"/>
            <w:vAlign w:val="center"/>
            <w:hideMark/>
          </w:tcPr>
          <w:p w14:paraId="65CE1A9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3.45</w:t>
            </w:r>
          </w:p>
        </w:tc>
        <w:tc>
          <w:tcPr>
            <w:tcW w:w="821" w:type="dxa"/>
            <w:shd w:val="clear" w:color="auto" w:fill="auto"/>
            <w:noWrap/>
            <w:vAlign w:val="bottom"/>
            <w:hideMark/>
          </w:tcPr>
          <w:p w14:paraId="2EDFB8BA"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noWrap/>
            <w:vAlign w:val="bottom"/>
            <w:hideMark/>
          </w:tcPr>
          <w:p w14:paraId="57BE7A2E"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noWrap/>
            <w:vAlign w:val="bottom"/>
            <w:hideMark/>
          </w:tcPr>
          <w:p w14:paraId="416222E8"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21276950" w14:textId="77777777" w:rsidTr="00EE3BE0">
        <w:trPr>
          <w:trHeight w:val="289"/>
        </w:trPr>
        <w:tc>
          <w:tcPr>
            <w:tcW w:w="2326" w:type="dxa"/>
            <w:shd w:val="clear" w:color="auto" w:fill="auto"/>
            <w:vAlign w:val="center"/>
            <w:hideMark/>
          </w:tcPr>
          <w:p w14:paraId="35A1FBCB" w14:textId="59CE034C"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RS1 </w:t>
            </w:r>
            <w:r w:rsidRPr="004A782C">
              <w:rPr>
                <w:rFonts w:eastAsia="Times New Roman"/>
                <w:color w:val="000000"/>
                <w:lang w:bidi="ne-NP"/>
              </w:rPr>
              <w:t>Factor</w:t>
            </w:r>
          </w:p>
        </w:tc>
        <w:tc>
          <w:tcPr>
            <w:tcW w:w="2184" w:type="dxa"/>
            <w:shd w:val="clear" w:color="auto" w:fill="auto"/>
            <w:vAlign w:val="center"/>
            <w:hideMark/>
          </w:tcPr>
          <w:p w14:paraId="2245782F"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Bachelor's Degree</w:t>
            </w:r>
          </w:p>
        </w:tc>
        <w:tc>
          <w:tcPr>
            <w:tcW w:w="821" w:type="dxa"/>
            <w:shd w:val="clear" w:color="auto" w:fill="auto"/>
            <w:vAlign w:val="center"/>
            <w:hideMark/>
          </w:tcPr>
          <w:p w14:paraId="5E2069F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7.97</w:t>
            </w:r>
          </w:p>
        </w:tc>
        <w:tc>
          <w:tcPr>
            <w:tcW w:w="820" w:type="dxa"/>
            <w:shd w:val="clear" w:color="auto" w:fill="auto"/>
            <w:vAlign w:val="center"/>
            <w:hideMark/>
          </w:tcPr>
          <w:p w14:paraId="1C8DAF67"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5.29</w:t>
            </w:r>
          </w:p>
        </w:tc>
        <w:tc>
          <w:tcPr>
            <w:tcW w:w="821" w:type="dxa"/>
            <w:shd w:val="clear" w:color="auto" w:fill="auto"/>
            <w:vAlign w:val="center"/>
            <w:hideMark/>
          </w:tcPr>
          <w:p w14:paraId="028EBC4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0.60</w:t>
            </w:r>
          </w:p>
        </w:tc>
        <w:tc>
          <w:tcPr>
            <w:tcW w:w="957" w:type="dxa"/>
            <w:shd w:val="clear" w:color="auto" w:fill="auto"/>
            <w:vAlign w:val="center"/>
            <w:hideMark/>
          </w:tcPr>
          <w:p w14:paraId="38D938D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71.36</w:t>
            </w:r>
          </w:p>
        </w:tc>
        <w:tc>
          <w:tcPr>
            <w:tcW w:w="836" w:type="dxa"/>
            <w:shd w:val="clear" w:color="auto" w:fill="auto"/>
            <w:vAlign w:val="center"/>
            <w:hideMark/>
          </w:tcPr>
          <w:p w14:paraId="00679763"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0.548</w:t>
            </w:r>
          </w:p>
        </w:tc>
      </w:tr>
      <w:tr w:rsidR="00C92EDD" w:rsidRPr="004A782C" w14:paraId="2ECC43D2" w14:textId="77777777" w:rsidTr="00EE3BE0">
        <w:trPr>
          <w:trHeight w:val="115"/>
        </w:trPr>
        <w:tc>
          <w:tcPr>
            <w:tcW w:w="2326" w:type="dxa"/>
            <w:shd w:val="clear" w:color="auto" w:fill="auto"/>
            <w:vAlign w:val="center"/>
            <w:hideMark/>
          </w:tcPr>
          <w:p w14:paraId="7FFFEC50"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1819C7E1"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High School Degree</w:t>
            </w:r>
          </w:p>
        </w:tc>
        <w:tc>
          <w:tcPr>
            <w:tcW w:w="821" w:type="dxa"/>
            <w:shd w:val="clear" w:color="auto" w:fill="auto"/>
            <w:vAlign w:val="center"/>
            <w:hideMark/>
          </w:tcPr>
          <w:p w14:paraId="3015BE4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7.49</w:t>
            </w:r>
          </w:p>
        </w:tc>
        <w:tc>
          <w:tcPr>
            <w:tcW w:w="820" w:type="dxa"/>
            <w:shd w:val="clear" w:color="auto" w:fill="auto"/>
            <w:vAlign w:val="center"/>
            <w:hideMark/>
          </w:tcPr>
          <w:p w14:paraId="4D329FA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5.36</w:t>
            </w:r>
          </w:p>
        </w:tc>
        <w:tc>
          <w:tcPr>
            <w:tcW w:w="821" w:type="dxa"/>
            <w:shd w:val="clear" w:color="auto" w:fill="auto"/>
            <w:noWrap/>
            <w:vAlign w:val="bottom"/>
            <w:hideMark/>
          </w:tcPr>
          <w:p w14:paraId="2A24E540"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noWrap/>
            <w:vAlign w:val="bottom"/>
            <w:hideMark/>
          </w:tcPr>
          <w:p w14:paraId="647B9892"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noWrap/>
            <w:vAlign w:val="bottom"/>
            <w:hideMark/>
          </w:tcPr>
          <w:p w14:paraId="74990E73"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3F95BD0A" w14:textId="77777777" w:rsidTr="00EE3BE0">
        <w:trPr>
          <w:trHeight w:val="107"/>
        </w:trPr>
        <w:tc>
          <w:tcPr>
            <w:tcW w:w="2326" w:type="dxa"/>
            <w:shd w:val="clear" w:color="auto" w:fill="auto"/>
            <w:vAlign w:val="center"/>
            <w:hideMark/>
          </w:tcPr>
          <w:p w14:paraId="6D529472" w14:textId="6672949C"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RS2 </w:t>
            </w:r>
            <w:r w:rsidRPr="004A782C">
              <w:rPr>
                <w:rFonts w:eastAsia="Times New Roman"/>
                <w:color w:val="000000"/>
                <w:lang w:bidi="ne-NP"/>
              </w:rPr>
              <w:t>Factor</w:t>
            </w:r>
          </w:p>
        </w:tc>
        <w:tc>
          <w:tcPr>
            <w:tcW w:w="2184" w:type="dxa"/>
            <w:shd w:val="clear" w:color="auto" w:fill="auto"/>
            <w:vAlign w:val="center"/>
            <w:hideMark/>
          </w:tcPr>
          <w:p w14:paraId="1415CC5B"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Bachelor's Degree</w:t>
            </w:r>
          </w:p>
        </w:tc>
        <w:tc>
          <w:tcPr>
            <w:tcW w:w="821" w:type="dxa"/>
            <w:shd w:val="clear" w:color="auto" w:fill="auto"/>
            <w:vAlign w:val="center"/>
            <w:hideMark/>
          </w:tcPr>
          <w:p w14:paraId="234D8B1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5.52</w:t>
            </w:r>
          </w:p>
        </w:tc>
        <w:tc>
          <w:tcPr>
            <w:tcW w:w="820" w:type="dxa"/>
            <w:shd w:val="clear" w:color="auto" w:fill="auto"/>
            <w:vAlign w:val="center"/>
            <w:hideMark/>
          </w:tcPr>
          <w:p w14:paraId="70DE9905"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4.52</w:t>
            </w:r>
          </w:p>
        </w:tc>
        <w:tc>
          <w:tcPr>
            <w:tcW w:w="821" w:type="dxa"/>
            <w:shd w:val="clear" w:color="auto" w:fill="auto"/>
            <w:vAlign w:val="center"/>
            <w:hideMark/>
          </w:tcPr>
          <w:p w14:paraId="26A14B9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0.09</w:t>
            </w:r>
          </w:p>
        </w:tc>
        <w:tc>
          <w:tcPr>
            <w:tcW w:w="957" w:type="dxa"/>
            <w:shd w:val="clear" w:color="auto" w:fill="auto"/>
            <w:vAlign w:val="center"/>
            <w:hideMark/>
          </w:tcPr>
          <w:p w14:paraId="14DD42D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69.02</w:t>
            </w:r>
          </w:p>
        </w:tc>
        <w:tc>
          <w:tcPr>
            <w:tcW w:w="836" w:type="dxa"/>
            <w:shd w:val="clear" w:color="auto" w:fill="auto"/>
            <w:vAlign w:val="center"/>
            <w:hideMark/>
          </w:tcPr>
          <w:p w14:paraId="075AC073"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0.927</w:t>
            </w:r>
          </w:p>
        </w:tc>
      </w:tr>
      <w:tr w:rsidR="00C92EDD" w:rsidRPr="004A782C" w14:paraId="4ED14202" w14:textId="77777777" w:rsidTr="00EE3BE0">
        <w:trPr>
          <w:trHeight w:val="113"/>
        </w:trPr>
        <w:tc>
          <w:tcPr>
            <w:tcW w:w="2326" w:type="dxa"/>
            <w:shd w:val="clear" w:color="auto" w:fill="auto"/>
            <w:vAlign w:val="center"/>
            <w:hideMark/>
          </w:tcPr>
          <w:p w14:paraId="6E820A7D"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vAlign w:val="center"/>
            <w:hideMark/>
          </w:tcPr>
          <w:p w14:paraId="0DD93FCB"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High School Degree</w:t>
            </w:r>
          </w:p>
        </w:tc>
        <w:tc>
          <w:tcPr>
            <w:tcW w:w="821" w:type="dxa"/>
            <w:shd w:val="clear" w:color="auto" w:fill="auto"/>
            <w:vAlign w:val="center"/>
            <w:hideMark/>
          </w:tcPr>
          <w:p w14:paraId="6271154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5.45</w:t>
            </w:r>
          </w:p>
        </w:tc>
        <w:tc>
          <w:tcPr>
            <w:tcW w:w="820" w:type="dxa"/>
            <w:shd w:val="clear" w:color="auto" w:fill="auto"/>
            <w:vAlign w:val="center"/>
            <w:hideMark/>
          </w:tcPr>
          <w:p w14:paraId="27493588"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4.87</w:t>
            </w:r>
          </w:p>
        </w:tc>
        <w:tc>
          <w:tcPr>
            <w:tcW w:w="821" w:type="dxa"/>
            <w:shd w:val="clear" w:color="auto" w:fill="auto"/>
            <w:noWrap/>
            <w:vAlign w:val="bottom"/>
            <w:hideMark/>
          </w:tcPr>
          <w:p w14:paraId="3E9770DB"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noWrap/>
            <w:vAlign w:val="bottom"/>
            <w:hideMark/>
          </w:tcPr>
          <w:p w14:paraId="52D16237"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noWrap/>
            <w:vAlign w:val="bottom"/>
            <w:hideMark/>
          </w:tcPr>
          <w:p w14:paraId="45B1BDF5"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2C19FD0D" w14:textId="77777777" w:rsidTr="00EE3BE0">
        <w:trPr>
          <w:trHeight w:val="119"/>
        </w:trPr>
        <w:tc>
          <w:tcPr>
            <w:tcW w:w="2326" w:type="dxa"/>
            <w:shd w:val="clear" w:color="auto" w:fill="auto"/>
            <w:vAlign w:val="center"/>
            <w:hideMark/>
          </w:tcPr>
          <w:p w14:paraId="4CDE370B" w14:textId="4B509710"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ATMHP Total </w:t>
            </w:r>
          </w:p>
        </w:tc>
        <w:tc>
          <w:tcPr>
            <w:tcW w:w="2184" w:type="dxa"/>
            <w:shd w:val="clear" w:color="auto" w:fill="auto"/>
            <w:vAlign w:val="center"/>
            <w:hideMark/>
          </w:tcPr>
          <w:p w14:paraId="03F2858E" w14:textId="77777777"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Bachelor's Degree</w:t>
            </w:r>
          </w:p>
        </w:tc>
        <w:tc>
          <w:tcPr>
            <w:tcW w:w="821" w:type="dxa"/>
            <w:shd w:val="clear" w:color="auto" w:fill="auto"/>
            <w:vAlign w:val="center"/>
            <w:hideMark/>
          </w:tcPr>
          <w:p w14:paraId="09FA42E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34.89</w:t>
            </w:r>
          </w:p>
        </w:tc>
        <w:tc>
          <w:tcPr>
            <w:tcW w:w="820" w:type="dxa"/>
            <w:shd w:val="clear" w:color="auto" w:fill="auto"/>
            <w:vAlign w:val="center"/>
            <w:hideMark/>
          </w:tcPr>
          <w:p w14:paraId="60E62343"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19.23</w:t>
            </w:r>
          </w:p>
        </w:tc>
        <w:tc>
          <w:tcPr>
            <w:tcW w:w="821" w:type="dxa"/>
            <w:shd w:val="clear" w:color="auto" w:fill="auto"/>
            <w:vAlign w:val="center"/>
            <w:hideMark/>
          </w:tcPr>
          <w:p w14:paraId="77E39EC6"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1.03</w:t>
            </w:r>
          </w:p>
        </w:tc>
        <w:tc>
          <w:tcPr>
            <w:tcW w:w="957" w:type="dxa"/>
            <w:shd w:val="clear" w:color="auto" w:fill="auto"/>
            <w:vAlign w:val="center"/>
            <w:hideMark/>
          </w:tcPr>
          <w:p w14:paraId="724EFF2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68.45</w:t>
            </w:r>
          </w:p>
        </w:tc>
        <w:tc>
          <w:tcPr>
            <w:tcW w:w="836" w:type="dxa"/>
            <w:shd w:val="clear" w:color="auto" w:fill="auto"/>
            <w:vAlign w:val="center"/>
            <w:hideMark/>
          </w:tcPr>
          <w:p w14:paraId="5BA034E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0.305</w:t>
            </w:r>
          </w:p>
        </w:tc>
      </w:tr>
      <w:tr w:rsidR="00C64C95" w:rsidRPr="004A782C" w14:paraId="4A33CBF5" w14:textId="77777777" w:rsidTr="00EE3BE0">
        <w:trPr>
          <w:trHeight w:val="581"/>
        </w:trPr>
        <w:tc>
          <w:tcPr>
            <w:tcW w:w="2326" w:type="dxa"/>
            <w:tcBorders>
              <w:bottom w:val="single" w:sz="4" w:space="0" w:color="auto"/>
            </w:tcBorders>
            <w:shd w:val="clear" w:color="auto" w:fill="auto"/>
            <w:vAlign w:val="center"/>
            <w:hideMark/>
          </w:tcPr>
          <w:p w14:paraId="7C0D969D" w14:textId="77777777" w:rsidR="00C64C95" w:rsidRPr="004A782C" w:rsidRDefault="00C64C95" w:rsidP="00B27EBA">
            <w:pPr>
              <w:spacing w:after="0"/>
              <w:contextualSpacing/>
              <w:jc w:val="both"/>
              <w:rPr>
                <w:rFonts w:eastAsia="Times New Roman"/>
                <w:color w:val="000000" w:themeColor="text1"/>
                <w:lang w:bidi="ne-NP"/>
              </w:rPr>
            </w:pPr>
          </w:p>
        </w:tc>
        <w:tc>
          <w:tcPr>
            <w:tcW w:w="2184" w:type="dxa"/>
            <w:tcBorders>
              <w:bottom w:val="single" w:sz="4" w:space="0" w:color="auto"/>
            </w:tcBorders>
            <w:shd w:val="clear" w:color="auto" w:fill="auto"/>
            <w:vAlign w:val="center"/>
            <w:hideMark/>
          </w:tcPr>
          <w:p w14:paraId="3057FC66"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High School Degree</w:t>
            </w:r>
          </w:p>
        </w:tc>
        <w:tc>
          <w:tcPr>
            <w:tcW w:w="821" w:type="dxa"/>
            <w:tcBorders>
              <w:bottom w:val="single" w:sz="4" w:space="0" w:color="auto"/>
            </w:tcBorders>
            <w:shd w:val="clear" w:color="auto" w:fill="auto"/>
            <w:vAlign w:val="center"/>
            <w:hideMark/>
          </w:tcPr>
          <w:p w14:paraId="3A7A962B"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31.68</w:t>
            </w:r>
          </w:p>
        </w:tc>
        <w:tc>
          <w:tcPr>
            <w:tcW w:w="820" w:type="dxa"/>
            <w:tcBorders>
              <w:bottom w:val="single" w:sz="4" w:space="0" w:color="auto"/>
            </w:tcBorders>
            <w:shd w:val="clear" w:color="auto" w:fill="auto"/>
            <w:vAlign w:val="center"/>
            <w:hideMark/>
          </w:tcPr>
          <w:p w14:paraId="0BDFC38B" w14:textId="77777777" w:rsidR="00C64C95" w:rsidRPr="004A782C" w:rsidRDefault="00C64C95" w:rsidP="00B27EBA">
            <w:pPr>
              <w:spacing w:after="0"/>
              <w:contextualSpacing/>
              <w:jc w:val="both"/>
              <w:rPr>
                <w:rFonts w:eastAsia="Times New Roman"/>
                <w:color w:val="000000" w:themeColor="text1"/>
                <w:lang w:bidi="ne-NP"/>
              </w:rPr>
            </w:pPr>
            <w:r w:rsidRPr="004A782C">
              <w:rPr>
                <w:color w:val="000000"/>
              </w:rPr>
              <w:t>21.07</w:t>
            </w:r>
          </w:p>
        </w:tc>
        <w:tc>
          <w:tcPr>
            <w:tcW w:w="821" w:type="dxa"/>
            <w:tcBorders>
              <w:bottom w:val="single" w:sz="4" w:space="0" w:color="auto"/>
            </w:tcBorders>
            <w:shd w:val="clear" w:color="auto" w:fill="auto"/>
            <w:noWrap/>
            <w:vAlign w:val="bottom"/>
            <w:hideMark/>
          </w:tcPr>
          <w:p w14:paraId="225D6FC2" w14:textId="77777777" w:rsidR="00C64C95" w:rsidRPr="004A782C" w:rsidRDefault="00C64C95" w:rsidP="00B27EBA">
            <w:pPr>
              <w:spacing w:after="0"/>
              <w:contextualSpacing/>
              <w:jc w:val="both"/>
              <w:rPr>
                <w:rFonts w:eastAsia="Times New Roman"/>
                <w:color w:val="000000" w:themeColor="text1"/>
                <w:lang w:bidi="ne-NP"/>
              </w:rPr>
            </w:pPr>
          </w:p>
        </w:tc>
        <w:tc>
          <w:tcPr>
            <w:tcW w:w="957" w:type="dxa"/>
            <w:tcBorders>
              <w:bottom w:val="single" w:sz="4" w:space="0" w:color="auto"/>
            </w:tcBorders>
            <w:shd w:val="clear" w:color="auto" w:fill="auto"/>
            <w:noWrap/>
            <w:vAlign w:val="bottom"/>
            <w:hideMark/>
          </w:tcPr>
          <w:p w14:paraId="75952B28" w14:textId="77777777" w:rsidR="00C64C95" w:rsidRPr="004A782C" w:rsidRDefault="00C64C95" w:rsidP="00B27EBA">
            <w:pPr>
              <w:spacing w:after="0"/>
              <w:contextualSpacing/>
              <w:jc w:val="both"/>
              <w:rPr>
                <w:rFonts w:eastAsia="Times New Roman"/>
                <w:color w:val="000000" w:themeColor="text1"/>
                <w:lang w:bidi="ne-NP"/>
              </w:rPr>
            </w:pPr>
          </w:p>
        </w:tc>
        <w:tc>
          <w:tcPr>
            <w:tcW w:w="836" w:type="dxa"/>
            <w:tcBorders>
              <w:bottom w:val="single" w:sz="4" w:space="0" w:color="auto"/>
            </w:tcBorders>
            <w:shd w:val="clear" w:color="auto" w:fill="auto"/>
            <w:noWrap/>
            <w:vAlign w:val="bottom"/>
            <w:hideMark/>
          </w:tcPr>
          <w:p w14:paraId="76A59AE2" w14:textId="77777777" w:rsidR="00C64C95" w:rsidRPr="004A782C" w:rsidRDefault="00C64C95" w:rsidP="00B27EBA">
            <w:pPr>
              <w:spacing w:after="0"/>
              <w:contextualSpacing/>
              <w:jc w:val="both"/>
              <w:rPr>
                <w:rFonts w:eastAsia="Times New Roman"/>
                <w:color w:val="000000" w:themeColor="text1"/>
                <w:lang w:bidi="ne-NP"/>
              </w:rPr>
            </w:pPr>
          </w:p>
        </w:tc>
      </w:tr>
      <w:tr w:rsidR="00C64C95" w:rsidRPr="004A782C" w14:paraId="4D8D9254" w14:textId="77777777" w:rsidTr="00EE3BE0">
        <w:trPr>
          <w:trHeight w:val="581"/>
        </w:trPr>
        <w:tc>
          <w:tcPr>
            <w:tcW w:w="8765" w:type="dxa"/>
            <w:gridSpan w:val="7"/>
            <w:tcBorders>
              <w:top w:val="single" w:sz="4" w:space="0" w:color="auto"/>
              <w:left w:val="nil"/>
              <w:bottom w:val="single" w:sz="4" w:space="0" w:color="auto"/>
              <w:right w:val="nil"/>
            </w:tcBorders>
            <w:shd w:val="clear" w:color="auto" w:fill="auto"/>
            <w:vAlign w:val="center"/>
          </w:tcPr>
          <w:p w14:paraId="40245995" w14:textId="77777777" w:rsidR="00C64C95" w:rsidRPr="004A782C" w:rsidRDefault="00C64C95"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Year of Education in Bachelor’s Degree [First Two Years (</w:t>
            </w:r>
            <w:r w:rsidRPr="004A782C">
              <w:rPr>
                <w:rFonts w:eastAsia="Times New Roman"/>
                <w:i/>
                <w:iCs/>
                <w:color w:val="000000" w:themeColor="text1"/>
                <w:lang w:bidi="ne-NP"/>
              </w:rPr>
              <w:t>N</w:t>
            </w:r>
            <w:r w:rsidRPr="004A782C">
              <w:rPr>
                <w:rFonts w:eastAsia="Times New Roman"/>
                <w:color w:val="000000" w:themeColor="text1"/>
                <w:lang w:bidi="ne-NP"/>
              </w:rPr>
              <w:t xml:space="preserve"> = 227), Last Two Years (</w:t>
            </w:r>
            <w:r w:rsidRPr="004A782C">
              <w:rPr>
                <w:rFonts w:eastAsia="Times New Roman"/>
                <w:i/>
                <w:iCs/>
                <w:color w:val="000000" w:themeColor="text1"/>
                <w:lang w:bidi="ne-NP"/>
              </w:rPr>
              <w:t>N</w:t>
            </w:r>
            <w:r w:rsidRPr="004A782C">
              <w:rPr>
                <w:rFonts w:eastAsia="Times New Roman"/>
                <w:color w:val="000000" w:themeColor="text1"/>
                <w:lang w:bidi="ne-NP"/>
              </w:rPr>
              <w:t xml:space="preserve"> = 92)]</w:t>
            </w:r>
          </w:p>
        </w:tc>
      </w:tr>
      <w:tr w:rsidR="00C92EDD" w:rsidRPr="004A782C" w14:paraId="2D276706" w14:textId="77777777" w:rsidTr="00EE3BE0">
        <w:trPr>
          <w:trHeight w:val="581"/>
        </w:trPr>
        <w:tc>
          <w:tcPr>
            <w:tcW w:w="2326" w:type="dxa"/>
            <w:tcBorders>
              <w:top w:val="single" w:sz="4" w:space="0" w:color="auto"/>
              <w:left w:val="nil"/>
              <w:bottom w:val="nil"/>
              <w:right w:val="nil"/>
            </w:tcBorders>
            <w:shd w:val="clear" w:color="auto" w:fill="auto"/>
            <w:vAlign w:val="center"/>
          </w:tcPr>
          <w:p w14:paraId="4B337B41" w14:textId="7B03B0EF"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ATMHP </w:t>
            </w:r>
            <w:r w:rsidRPr="004A782C">
              <w:rPr>
                <w:rFonts w:eastAsia="Times New Roman"/>
                <w:color w:val="000000"/>
                <w:lang w:bidi="ne-NP"/>
              </w:rPr>
              <w:t>Factor</w:t>
            </w:r>
          </w:p>
        </w:tc>
        <w:tc>
          <w:tcPr>
            <w:tcW w:w="2184" w:type="dxa"/>
            <w:tcBorders>
              <w:top w:val="single" w:sz="4" w:space="0" w:color="auto"/>
              <w:left w:val="nil"/>
              <w:bottom w:val="nil"/>
              <w:right w:val="nil"/>
            </w:tcBorders>
            <w:shd w:val="clear" w:color="auto" w:fill="auto"/>
            <w:vAlign w:val="center"/>
          </w:tcPr>
          <w:p w14:paraId="110C452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First Two Years</w:t>
            </w:r>
          </w:p>
        </w:tc>
        <w:tc>
          <w:tcPr>
            <w:tcW w:w="821" w:type="dxa"/>
            <w:tcBorders>
              <w:top w:val="single" w:sz="4" w:space="0" w:color="auto"/>
              <w:left w:val="nil"/>
              <w:bottom w:val="nil"/>
              <w:right w:val="nil"/>
            </w:tcBorders>
            <w:shd w:val="clear" w:color="auto" w:fill="auto"/>
            <w:vAlign w:val="center"/>
          </w:tcPr>
          <w:p w14:paraId="1EC6C403" w14:textId="77777777" w:rsidR="00C92EDD" w:rsidRPr="004A782C" w:rsidRDefault="00C92EDD" w:rsidP="00B27EBA">
            <w:pPr>
              <w:spacing w:after="0"/>
              <w:contextualSpacing/>
              <w:jc w:val="both"/>
              <w:rPr>
                <w:color w:val="000000"/>
              </w:rPr>
            </w:pPr>
            <w:r w:rsidRPr="004A782C">
              <w:rPr>
                <w:color w:val="000000"/>
              </w:rPr>
              <w:t>8.82</w:t>
            </w:r>
          </w:p>
        </w:tc>
        <w:tc>
          <w:tcPr>
            <w:tcW w:w="820" w:type="dxa"/>
            <w:tcBorders>
              <w:top w:val="single" w:sz="4" w:space="0" w:color="auto"/>
              <w:left w:val="nil"/>
              <w:bottom w:val="nil"/>
              <w:right w:val="nil"/>
            </w:tcBorders>
            <w:shd w:val="clear" w:color="auto" w:fill="auto"/>
            <w:vAlign w:val="center"/>
          </w:tcPr>
          <w:p w14:paraId="4A5A79CF" w14:textId="77777777" w:rsidR="00C92EDD" w:rsidRPr="004A782C" w:rsidRDefault="00C92EDD" w:rsidP="00B27EBA">
            <w:pPr>
              <w:spacing w:after="0"/>
              <w:contextualSpacing/>
              <w:jc w:val="both"/>
              <w:rPr>
                <w:color w:val="000000"/>
              </w:rPr>
            </w:pPr>
            <w:r w:rsidRPr="004A782C">
              <w:rPr>
                <w:color w:val="000000"/>
              </w:rPr>
              <w:t>5.00</w:t>
            </w:r>
          </w:p>
        </w:tc>
        <w:tc>
          <w:tcPr>
            <w:tcW w:w="821" w:type="dxa"/>
            <w:tcBorders>
              <w:top w:val="single" w:sz="4" w:space="0" w:color="auto"/>
              <w:left w:val="nil"/>
              <w:bottom w:val="nil"/>
              <w:right w:val="nil"/>
            </w:tcBorders>
            <w:shd w:val="clear" w:color="auto" w:fill="auto"/>
            <w:noWrap/>
            <w:vAlign w:val="center"/>
          </w:tcPr>
          <w:p w14:paraId="0BFFE86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-1.49</w:t>
            </w:r>
          </w:p>
        </w:tc>
        <w:tc>
          <w:tcPr>
            <w:tcW w:w="957" w:type="dxa"/>
            <w:tcBorders>
              <w:top w:val="single" w:sz="4" w:space="0" w:color="auto"/>
              <w:left w:val="nil"/>
              <w:bottom w:val="nil"/>
              <w:right w:val="nil"/>
            </w:tcBorders>
            <w:shd w:val="clear" w:color="auto" w:fill="auto"/>
            <w:noWrap/>
            <w:vAlign w:val="center"/>
          </w:tcPr>
          <w:p w14:paraId="7384322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155.73</w:t>
            </w:r>
          </w:p>
        </w:tc>
        <w:tc>
          <w:tcPr>
            <w:tcW w:w="836" w:type="dxa"/>
            <w:tcBorders>
              <w:top w:val="single" w:sz="4" w:space="0" w:color="auto"/>
              <w:left w:val="nil"/>
              <w:bottom w:val="nil"/>
              <w:right w:val="nil"/>
            </w:tcBorders>
            <w:shd w:val="clear" w:color="auto" w:fill="auto"/>
            <w:noWrap/>
            <w:vAlign w:val="center"/>
          </w:tcPr>
          <w:p w14:paraId="3183ECF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0.138</w:t>
            </w:r>
          </w:p>
        </w:tc>
      </w:tr>
      <w:tr w:rsidR="00C92EDD" w:rsidRPr="004A782C" w14:paraId="69AEC2C2" w14:textId="77777777" w:rsidTr="00EE3BE0">
        <w:trPr>
          <w:trHeight w:val="581"/>
        </w:trPr>
        <w:tc>
          <w:tcPr>
            <w:tcW w:w="2326" w:type="dxa"/>
            <w:tcBorders>
              <w:top w:val="nil"/>
              <w:left w:val="nil"/>
              <w:bottom w:val="nil"/>
              <w:right w:val="nil"/>
            </w:tcBorders>
            <w:shd w:val="clear" w:color="auto" w:fill="auto"/>
            <w:vAlign w:val="center"/>
          </w:tcPr>
          <w:p w14:paraId="5BA82519"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tcBorders>
              <w:top w:val="nil"/>
              <w:left w:val="nil"/>
              <w:bottom w:val="nil"/>
              <w:right w:val="nil"/>
            </w:tcBorders>
            <w:shd w:val="clear" w:color="auto" w:fill="auto"/>
            <w:vAlign w:val="center"/>
          </w:tcPr>
          <w:p w14:paraId="5CA41AB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Last Two Years</w:t>
            </w:r>
          </w:p>
        </w:tc>
        <w:tc>
          <w:tcPr>
            <w:tcW w:w="821" w:type="dxa"/>
            <w:tcBorders>
              <w:top w:val="nil"/>
              <w:left w:val="nil"/>
              <w:bottom w:val="nil"/>
              <w:right w:val="nil"/>
            </w:tcBorders>
            <w:shd w:val="clear" w:color="auto" w:fill="auto"/>
            <w:vAlign w:val="center"/>
          </w:tcPr>
          <w:p w14:paraId="1EA15771" w14:textId="77777777" w:rsidR="00C92EDD" w:rsidRPr="004A782C" w:rsidRDefault="00C92EDD" w:rsidP="00B27EBA">
            <w:pPr>
              <w:spacing w:after="0"/>
              <w:contextualSpacing/>
              <w:jc w:val="both"/>
              <w:rPr>
                <w:color w:val="000000"/>
              </w:rPr>
            </w:pPr>
            <w:r w:rsidRPr="004A782C">
              <w:rPr>
                <w:color w:val="000000"/>
              </w:rPr>
              <w:t>9.80</w:t>
            </w:r>
          </w:p>
        </w:tc>
        <w:tc>
          <w:tcPr>
            <w:tcW w:w="820" w:type="dxa"/>
            <w:tcBorders>
              <w:top w:val="nil"/>
              <w:left w:val="nil"/>
              <w:bottom w:val="nil"/>
              <w:right w:val="nil"/>
            </w:tcBorders>
            <w:shd w:val="clear" w:color="auto" w:fill="auto"/>
            <w:vAlign w:val="center"/>
          </w:tcPr>
          <w:p w14:paraId="2EA43AAE" w14:textId="77777777" w:rsidR="00C92EDD" w:rsidRPr="004A782C" w:rsidRDefault="00C92EDD" w:rsidP="00B27EBA">
            <w:pPr>
              <w:spacing w:after="0"/>
              <w:contextualSpacing/>
              <w:jc w:val="both"/>
              <w:rPr>
                <w:color w:val="000000"/>
              </w:rPr>
            </w:pPr>
            <w:r w:rsidRPr="004A782C">
              <w:rPr>
                <w:color w:val="000000"/>
              </w:rPr>
              <w:t>5.48</w:t>
            </w:r>
          </w:p>
        </w:tc>
        <w:tc>
          <w:tcPr>
            <w:tcW w:w="821" w:type="dxa"/>
            <w:tcBorders>
              <w:top w:val="nil"/>
              <w:left w:val="nil"/>
              <w:bottom w:val="nil"/>
              <w:right w:val="nil"/>
            </w:tcBorders>
            <w:shd w:val="clear" w:color="auto" w:fill="auto"/>
            <w:noWrap/>
            <w:vAlign w:val="bottom"/>
          </w:tcPr>
          <w:p w14:paraId="6D6BFAA0" w14:textId="77777777" w:rsidR="00C92EDD" w:rsidRPr="004A782C" w:rsidRDefault="00C92EDD" w:rsidP="00B27EBA">
            <w:pPr>
              <w:spacing w:after="0"/>
              <w:contextualSpacing/>
              <w:jc w:val="both"/>
              <w:rPr>
                <w:rFonts w:eastAsia="Times New Roman"/>
                <w:color w:val="000000" w:themeColor="text1"/>
                <w:lang w:bidi="ne-NP"/>
              </w:rPr>
            </w:pPr>
          </w:p>
        </w:tc>
        <w:tc>
          <w:tcPr>
            <w:tcW w:w="957" w:type="dxa"/>
            <w:tcBorders>
              <w:top w:val="nil"/>
              <w:left w:val="nil"/>
              <w:bottom w:val="nil"/>
              <w:right w:val="nil"/>
            </w:tcBorders>
            <w:shd w:val="clear" w:color="auto" w:fill="auto"/>
            <w:noWrap/>
            <w:vAlign w:val="bottom"/>
          </w:tcPr>
          <w:p w14:paraId="627ACF06" w14:textId="77777777" w:rsidR="00C92EDD" w:rsidRPr="004A782C" w:rsidRDefault="00C92EDD" w:rsidP="00B27EBA">
            <w:pPr>
              <w:spacing w:after="0"/>
              <w:contextualSpacing/>
              <w:jc w:val="both"/>
              <w:rPr>
                <w:rFonts w:eastAsia="Times New Roman"/>
                <w:color w:val="000000" w:themeColor="text1"/>
                <w:lang w:bidi="ne-NP"/>
              </w:rPr>
            </w:pPr>
          </w:p>
        </w:tc>
        <w:tc>
          <w:tcPr>
            <w:tcW w:w="836" w:type="dxa"/>
            <w:tcBorders>
              <w:top w:val="nil"/>
              <w:left w:val="nil"/>
              <w:bottom w:val="nil"/>
              <w:right w:val="nil"/>
            </w:tcBorders>
            <w:shd w:val="clear" w:color="auto" w:fill="auto"/>
            <w:noWrap/>
            <w:vAlign w:val="bottom"/>
          </w:tcPr>
          <w:p w14:paraId="1C64FF9C"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5C8CDD39" w14:textId="77777777" w:rsidTr="00EE3BE0">
        <w:trPr>
          <w:trHeight w:val="581"/>
        </w:trPr>
        <w:tc>
          <w:tcPr>
            <w:tcW w:w="2326" w:type="dxa"/>
            <w:tcBorders>
              <w:top w:val="nil"/>
              <w:left w:val="nil"/>
              <w:bottom w:val="nil"/>
              <w:right w:val="nil"/>
            </w:tcBorders>
            <w:shd w:val="clear" w:color="auto" w:fill="auto"/>
            <w:vAlign w:val="center"/>
          </w:tcPr>
          <w:p w14:paraId="70728A6E" w14:textId="5A881126"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ES </w:t>
            </w:r>
            <w:r w:rsidRPr="004A782C">
              <w:rPr>
                <w:rFonts w:eastAsia="Times New Roman"/>
                <w:color w:val="000000"/>
                <w:lang w:bidi="ne-NP"/>
              </w:rPr>
              <w:t>Factor</w:t>
            </w:r>
          </w:p>
        </w:tc>
        <w:tc>
          <w:tcPr>
            <w:tcW w:w="2184" w:type="dxa"/>
            <w:tcBorders>
              <w:top w:val="nil"/>
              <w:left w:val="nil"/>
              <w:bottom w:val="nil"/>
              <w:right w:val="nil"/>
            </w:tcBorders>
            <w:shd w:val="clear" w:color="auto" w:fill="auto"/>
            <w:vAlign w:val="center"/>
          </w:tcPr>
          <w:p w14:paraId="753584C2"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First Two Years</w:t>
            </w:r>
          </w:p>
        </w:tc>
        <w:tc>
          <w:tcPr>
            <w:tcW w:w="821" w:type="dxa"/>
            <w:tcBorders>
              <w:top w:val="nil"/>
              <w:left w:val="nil"/>
              <w:bottom w:val="nil"/>
              <w:right w:val="nil"/>
            </w:tcBorders>
            <w:shd w:val="clear" w:color="auto" w:fill="auto"/>
            <w:vAlign w:val="center"/>
          </w:tcPr>
          <w:p w14:paraId="21330EC6" w14:textId="77777777" w:rsidR="00C92EDD" w:rsidRPr="004A782C" w:rsidRDefault="00C92EDD" w:rsidP="00B27EBA">
            <w:pPr>
              <w:spacing w:after="0"/>
              <w:contextualSpacing/>
              <w:jc w:val="both"/>
              <w:rPr>
                <w:color w:val="000000"/>
              </w:rPr>
            </w:pPr>
            <w:r w:rsidRPr="004A782C">
              <w:rPr>
                <w:color w:val="000000"/>
              </w:rPr>
              <w:t>8.50</w:t>
            </w:r>
          </w:p>
        </w:tc>
        <w:tc>
          <w:tcPr>
            <w:tcW w:w="820" w:type="dxa"/>
            <w:tcBorders>
              <w:top w:val="nil"/>
              <w:left w:val="nil"/>
              <w:bottom w:val="nil"/>
              <w:right w:val="nil"/>
            </w:tcBorders>
            <w:shd w:val="clear" w:color="auto" w:fill="auto"/>
            <w:vAlign w:val="center"/>
          </w:tcPr>
          <w:p w14:paraId="3ECA84FE" w14:textId="77777777" w:rsidR="00C92EDD" w:rsidRPr="004A782C" w:rsidRDefault="00C92EDD" w:rsidP="00B27EBA">
            <w:pPr>
              <w:spacing w:after="0"/>
              <w:contextualSpacing/>
              <w:jc w:val="both"/>
              <w:rPr>
                <w:color w:val="000000"/>
              </w:rPr>
            </w:pPr>
            <w:r w:rsidRPr="004A782C">
              <w:rPr>
                <w:color w:val="000000"/>
              </w:rPr>
              <w:t>6.82</w:t>
            </w:r>
          </w:p>
        </w:tc>
        <w:tc>
          <w:tcPr>
            <w:tcW w:w="821" w:type="dxa"/>
            <w:tcBorders>
              <w:top w:val="nil"/>
              <w:left w:val="nil"/>
              <w:bottom w:val="nil"/>
              <w:right w:val="nil"/>
            </w:tcBorders>
            <w:shd w:val="clear" w:color="auto" w:fill="auto"/>
            <w:noWrap/>
            <w:vAlign w:val="center"/>
          </w:tcPr>
          <w:p w14:paraId="7A5CCD8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-0.14</w:t>
            </w:r>
          </w:p>
        </w:tc>
        <w:tc>
          <w:tcPr>
            <w:tcW w:w="957" w:type="dxa"/>
            <w:tcBorders>
              <w:top w:val="nil"/>
              <w:left w:val="nil"/>
              <w:bottom w:val="nil"/>
              <w:right w:val="nil"/>
            </w:tcBorders>
            <w:shd w:val="clear" w:color="auto" w:fill="auto"/>
            <w:noWrap/>
            <w:vAlign w:val="center"/>
          </w:tcPr>
          <w:p w14:paraId="55468CC9"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163.10</w:t>
            </w:r>
          </w:p>
        </w:tc>
        <w:tc>
          <w:tcPr>
            <w:tcW w:w="836" w:type="dxa"/>
            <w:tcBorders>
              <w:top w:val="nil"/>
              <w:left w:val="nil"/>
              <w:bottom w:val="nil"/>
              <w:right w:val="nil"/>
            </w:tcBorders>
            <w:shd w:val="clear" w:color="auto" w:fill="auto"/>
            <w:noWrap/>
            <w:vAlign w:val="center"/>
          </w:tcPr>
          <w:p w14:paraId="0E93F0E3"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0.888</w:t>
            </w:r>
          </w:p>
        </w:tc>
      </w:tr>
      <w:tr w:rsidR="00C92EDD" w:rsidRPr="004A782C" w14:paraId="3C465DB8" w14:textId="77777777" w:rsidTr="00EE3BE0">
        <w:trPr>
          <w:trHeight w:val="581"/>
        </w:trPr>
        <w:tc>
          <w:tcPr>
            <w:tcW w:w="2326" w:type="dxa"/>
            <w:tcBorders>
              <w:top w:val="nil"/>
              <w:left w:val="nil"/>
              <w:bottom w:val="nil"/>
              <w:right w:val="nil"/>
            </w:tcBorders>
            <w:shd w:val="clear" w:color="auto" w:fill="auto"/>
            <w:vAlign w:val="center"/>
          </w:tcPr>
          <w:p w14:paraId="230FCCB8"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tcBorders>
              <w:top w:val="nil"/>
              <w:left w:val="nil"/>
              <w:bottom w:val="nil"/>
              <w:right w:val="nil"/>
            </w:tcBorders>
            <w:shd w:val="clear" w:color="auto" w:fill="auto"/>
            <w:vAlign w:val="center"/>
          </w:tcPr>
          <w:p w14:paraId="302D6FB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Last Two Years</w:t>
            </w:r>
          </w:p>
        </w:tc>
        <w:tc>
          <w:tcPr>
            <w:tcW w:w="821" w:type="dxa"/>
            <w:tcBorders>
              <w:top w:val="nil"/>
              <w:left w:val="nil"/>
              <w:bottom w:val="nil"/>
              <w:right w:val="nil"/>
            </w:tcBorders>
            <w:shd w:val="clear" w:color="auto" w:fill="auto"/>
            <w:vAlign w:val="center"/>
          </w:tcPr>
          <w:p w14:paraId="5A243E4F" w14:textId="77777777" w:rsidR="00C92EDD" w:rsidRPr="004A782C" w:rsidRDefault="00C92EDD" w:rsidP="00B27EBA">
            <w:pPr>
              <w:spacing w:after="0"/>
              <w:contextualSpacing/>
              <w:jc w:val="both"/>
              <w:rPr>
                <w:color w:val="000000"/>
              </w:rPr>
            </w:pPr>
            <w:r w:rsidRPr="004A782C">
              <w:rPr>
                <w:color w:val="000000"/>
              </w:rPr>
              <w:t>8.62</w:t>
            </w:r>
          </w:p>
        </w:tc>
        <w:tc>
          <w:tcPr>
            <w:tcW w:w="820" w:type="dxa"/>
            <w:tcBorders>
              <w:top w:val="nil"/>
              <w:left w:val="nil"/>
              <w:bottom w:val="nil"/>
              <w:right w:val="nil"/>
            </w:tcBorders>
            <w:shd w:val="clear" w:color="auto" w:fill="auto"/>
            <w:vAlign w:val="center"/>
          </w:tcPr>
          <w:p w14:paraId="3B7753B0" w14:textId="77777777" w:rsidR="00C92EDD" w:rsidRPr="004A782C" w:rsidRDefault="00C92EDD" w:rsidP="00B27EBA">
            <w:pPr>
              <w:spacing w:after="0"/>
              <w:contextualSpacing/>
              <w:jc w:val="both"/>
              <w:rPr>
                <w:color w:val="000000"/>
              </w:rPr>
            </w:pPr>
            <w:r w:rsidRPr="004A782C">
              <w:rPr>
                <w:color w:val="000000"/>
              </w:rPr>
              <w:t>7.08</w:t>
            </w:r>
          </w:p>
        </w:tc>
        <w:tc>
          <w:tcPr>
            <w:tcW w:w="821" w:type="dxa"/>
            <w:tcBorders>
              <w:top w:val="nil"/>
              <w:left w:val="nil"/>
              <w:bottom w:val="nil"/>
              <w:right w:val="nil"/>
            </w:tcBorders>
            <w:shd w:val="clear" w:color="auto" w:fill="auto"/>
            <w:noWrap/>
            <w:vAlign w:val="bottom"/>
          </w:tcPr>
          <w:p w14:paraId="6BD24B7F" w14:textId="77777777" w:rsidR="00C92EDD" w:rsidRPr="004A782C" w:rsidRDefault="00C92EDD" w:rsidP="00B27EBA">
            <w:pPr>
              <w:spacing w:after="0"/>
              <w:contextualSpacing/>
              <w:jc w:val="both"/>
              <w:rPr>
                <w:rFonts w:eastAsia="Times New Roman"/>
                <w:color w:val="000000" w:themeColor="text1"/>
                <w:lang w:bidi="ne-NP"/>
              </w:rPr>
            </w:pPr>
          </w:p>
        </w:tc>
        <w:tc>
          <w:tcPr>
            <w:tcW w:w="957" w:type="dxa"/>
            <w:tcBorders>
              <w:top w:val="nil"/>
              <w:left w:val="nil"/>
              <w:bottom w:val="nil"/>
              <w:right w:val="nil"/>
            </w:tcBorders>
            <w:shd w:val="clear" w:color="auto" w:fill="auto"/>
            <w:noWrap/>
            <w:vAlign w:val="bottom"/>
          </w:tcPr>
          <w:p w14:paraId="7DA728B1" w14:textId="77777777" w:rsidR="00C92EDD" w:rsidRPr="004A782C" w:rsidRDefault="00C92EDD" w:rsidP="00B27EBA">
            <w:pPr>
              <w:spacing w:after="0"/>
              <w:contextualSpacing/>
              <w:jc w:val="both"/>
              <w:rPr>
                <w:rFonts w:eastAsia="Times New Roman"/>
                <w:color w:val="000000" w:themeColor="text1"/>
                <w:lang w:bidi="ne-NP"/>
              </w:rPr>
            </w:pPr>
          </w:p>
        </w:tc>
        <w:tc>
          <w:tcPr>
            <w:tcW w:w="836" w:type="dxa"/>
            <w:tcBorders>
              <w:top w:val="nil"/>
              <w:left w:val="nil"/>
              <w:bottom w:val="nil"/>
              <w:right w:val="nil"/>
            </w:tcBorders>
            <w:shd w:val="clear" w:color="auto" w:fill="auto"/>
            <w:noWrap/>
            <w:vAlign w:val="bottom"/>
          </w:tcPr>
          <w:p w14:paraId="10D0FB53"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0181AD1A" w14:textId="77777777" w:rsidTr="00EE3BE0">
        <w:trPr>
          <w:trHeight w:val="581"/>
        </w:trPr>
        <w:tc>
          <w:tcPr>
            <w:tcW w:w="2326" w:type="dxa"/>
            <w:tcBorders>
              <w:top w:val="nil"/>
              <w:left w:val="nil"/>
              <w:bottom w:val="nil"/>
              <w:right w:val="nil"/>
            </w:tcBorders>
            <w:shd w:val="clear" w:color="auto" w:fill="auto"/>
            <w:vAlign w:val="center"/>
          </w:tcPr>
          <w:p w14:paraId="72862904" w14:textId="69200C89"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IS </w:t>
            </w:r>
            <w:r w:rsidRPr="004A782C">
              <w:rPr>
                <w:rFonts w:eastAsia="Times New Roman"/>
                <w:color w:val="000000"/>
                <w:lang w:bidi="ne-NP"/>
              </w:rPr>
              <w:t>Factor</w:t>
            </w:r>
          </w:p>
        </w:tc>
        <w:tc>
          <w:tcPr>
            <w:tcW w:w="2184" w:type="dxa"/>
            <w:tcBorders>
              <w:top w:val="nil"/>
              <w:left w:val="nil"/>
              <w:bottom w:val="nil"/>
              <w:right w:val="nil"/>
            </w:tcBorders>
            <w:shd w:val="clear" w:color="auto" w:fill="auto"/>
            <w:vAlign w:val="center"/>
          </w:tcPr>
          <w:p w14:paraId="1FE0821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First Two Years</w:t>
            </w:r>
          </w:p>
        </w:tc>
        <w:tc>
          <w:tcPr>
            <w:tcW w:w="821" w:type="dxa"/>
            <w:tcBorders>
              <w:top w:val="nil"/>
              <w:left w:val="nil"/>
              <w:bottom w:val="nil"/>
              <w:right w:val="nil"/>
            </w:tcBorders>
            <w:shd w:val="clear" w:color="auto" w:fill="auto"/>
            <w:vAlign w:val="center"/>
          </w:tcPr>
          <w:p w14:paraId="02EBFED5" w14:textId="77777777" w:rsidR="00C92EDD" w:rsidRPr="004A782C" w:rsidRDefault="00C92EDD" w:rsidP="00B27EBA">
            <w:pPr>
              <w:spacing w:after="0"/>
              <w:contextualSpacing/>
              <w:jc w:val="both"/>
              <w:rPr>
                <w:color w:val="000000"/>
              </w:rPr>
            </w:pPr>
            <w:r w:rsidRPr="004A782C">
              <w:rPr>
                <w:color w:val="000000"/>
              </w:rPr>
              <w:t>3.59</w:t>
            </w:r>
          </w:p>
        </w:tc>
        <w:tc>
          <w:tcPr>
            <w:tcW w:w="820" w:type="dxa"/>
            <w:tcBorders>
              <w:top w:val="nil"/>
              <w:left w:val="nil"/>
              <w:bottom w:val="nil"/>
              <w:right w:val="nil"/>
            </w:tcBorders>
            <w:shd w:val="clear" w:color="auto" w:fill="auto"/>
            <w:vAlign w:val="center"/>
          </w:tcPr>
          <w:p w14:paraId="329BED9F" w14:textId="77777777" w:rsidR="00C92EDD" w:rsidRPr="004A782C" w:rsidRDefault="00C92EDD" w:rsidP="00B27EBA">
            <w:pPr>
              <w:spacing w:after="0"/>
              <w:contextualSpacing/>
              <w:jc w:val="both"/>
              <w:rPr>
                <w:color w:val="000000"/>
              </w:rPr>
            </w:pPr>
            <w:r w:rsidRPr="004A782C">
              <w:rPr>
                <w:color w:val="000000"/>
              </w:rPr>
              <w:t>3.77</w:t>
            </w:r>
          </w:p>
        </w:tc>
        <w:tc>
          <w:tcPr>
            <w:tcW w:w="821" w:type="dxa"/>
            <w:tcBorders>
              <w:top w:val="nil"/>
              <w:left w:val="nil"/>
              <w:bottom w:val="nil"/>
              <w:right w:val="nil"/>
            </w:tcBorders>
            <w:shd w:val="clear" w:color="auto" w:fill="auto"/>
            <w:noWrap/>
            <w:vAlign w:val="center"/>
          </w:tcPr>
          <w:p w14:paraId="22F7C81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-1.82</w:t>
            </w:r>
          </w:p>
        </w:tc>
        <w:tc>
          <w:tcPr>
            <w:tcW w:w="957" w:type="dxa"/>
            <w:tcBorders>
              <w:top w:val="nil"/>
              <w:left w:val="nil"/>
              <w:bottom w:val="nil"/>
              <w:right w:val="nil"/>
            </w:tcBorders>
            <w:shd w:val="clear" w:color="auto" w:fill="auto"/>
            <w:noWrap/>
            <w:vAlign w:val="center"/>
          </w:tcPr>
          <w:p w14:paraId="16C46809"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183.54</w:t>
            </w:r>
          </w:p>
        </w:tc>
        <w:tc>
          <w:tcPr>
            <w:tcW w:w="836" w:type="dxa"/>
            <w:tcBorders>
              <w:top w:val="nil"/>
              <w:left w:val="nil"/>
              <w:bottom w:val="nil"/>
              <w:right w:val="nil"/>
            </w:tcBorders>
            <w:shd w:val="clear" w:color="auto" w:fill="auto"/>
            <w:noWrap/>
            <w:vAlign w:val="center"/>
          </w:tcPr>
          <w:p w14:paraId="07D7EBE7"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0.071</w:t>
            </w:r>
          </w:p>
        </w:tc>
      </w:tr>
      <w:tr w:rsidR="00C92EDD" w:rsidRPr="004A782C" w14:paraId="70B377E9" w14:textId="77777777" w:rsidTr="00EE3BE0">
        <w:trPr>
          <w:trHeight w:val="581"/>
        </w:trPr>
        <w:tc>
          <w:tcPr>
            <w:tcW w:w="2326" w:type="dxa"/>
            <w:tcBorders>
              <w:top w:val="nil"/>
              <w:left w:val="nil"/>
              <w:bottom w:val="nil"/>
              <w:right w:val="nil"/>
            </w:tcBorders>
            <w:shd w:val="clear" w:color="auto" w:fill="auto"/>
            <w:vAlign w:val="center"/>
          </w:tcPr>
          <w:p w14:paraId="66DA6A0D"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tcBorders>
              <w:top w:val="nil"/>
              <w:left w:val="nil"/>
              <w:bottom w:val="nil"/>
              <w:right w:val="nil"/>
            </w:tcBorders>
            <w:shd w:val="clear" w:color="auto" w:fill="auto"/>
            <w:vAlign w:val="center"/>
          </w:tcPr>
          <w:p w14:paraId="642369F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Last Two Years</w:t>
            </w:r>
          </w:p>
        </w:tc>
        <w:tc>
          <w:tcPr>
            <w:tcW w:w="821" w:type="dxa"/>
            <w:tcBorders>
              <w:top w:val="nil"/>
              <w:left w:val="nil"/>
              <w:bottom w:val="nil"/>
              <w:right w:val="nil"/>
            </w:tcBorders>
            <w:shd w:val="clear" w:color="auto" w:fill="auto"/>
            <w:vAlign w:val="center"/>
          </w:tcPr>
          <w:p w14:paraId="3DA5D81E" w14:textId="77777777" w:rsidR="00C92EDD" w:rsidRPr="004A782C" w:rsidRDefault="00C92EDD" w:rsidP="00B27EBA">
            <w:pPr>
              <w:spacing w:after="0"/>
              <w:contextualSpacing/>
              <w:jc w:val="both"/>
              <w:rPr>
                <w:color w:val="000000"/>
              </w:rPr>
            </w:pPr>
            <w:r w:rsidRPr="004A782C">
              <w:rPr>
                <w:color w:val="000000"/>
              </w:rPr>
              <w:t>4.38</w:t>
            </w:r>
          </w:p>
        </w:tc>
        <w:tc>
          <w:tcPr>
            <w:tcW w:w="820" w:type="dxa"/>
            <w:tcBorders>
              <w:top w:val="nil"/>
              <w:left w:val="nil"/>
              <w:bottom w:val="nil"/>
              <w:right w:val="nil"/>
            </w:tcBorders>
            <w:shd w:val="clear" w:color="auto" w:fill="auto"/>
            <w:vAlign w:val="center"/>
          </w:tcPr>
          <w:p w14:paraId="1E60BC22" w14:textId="77777777" w:rsidR="00C92EDD" w:rsidRPr="004A782C" w:rsidRDefault="00C92EDD" w:rsidP="00B27EBA">
            <w:pPr>
              <w:spacing w:after="0"/>
              <w:contextualSpacing/>
              <w:jc w:val="both"/>
              <w:rPr>
                <w:color w:val="000000"/>
              </w:rPr>
            </w:pPr>
            <w:r w:rsidRPr="004A782C">
              <w:rPr>
                <w:color w:val="000000"/>
              </w:rPr>
              <w:t>3.44</w:t>
            </w:r>
          </w:p>
        </w:tc>
        <w:tc>
          <w:tcPr>
            <w:tcW w:w="821" w:type="dxa"/>
            <w:tcBorders>
              <w:top w:val="nil"/>
              <w:left w:val="nil"/>
              <w:bottom w:val="nil"/>
              <w:right w:val="nil"/>
            </w:tcBorders>
            <w:shd w:val="clear" w:color="auto" w:fill="auto"/>
            <w:noWrap/>
            <w:vAlign w:val="bottom"/>
          </w:tcPr>
          <w:p w14:paraId="001E37E7" w14:textId="77777777" w:rsidR="00C92EDD" w:rsidRPr="004A782C" w:rsidRDefault="00C92EDD" w:rsidP="00B27EBA">
            <w:pPr>
              <w:spacing w:after="0"/>
              <w:contextualSpacing/>
              <w:jc w:val="both"/>
              <w:rPr>
                <w:rFonts w:eastAsia="Times New Roman"/>
                <w:color w:val="000000" w:themeColor="text1"/>
                <w:lang w:bidi="ne-NP"/>
              </w:rPr>
            </w:pPr>
          </w:p>
        </w:tc>
        <w:tc>
          <w:tcPr>
            <w:tcW w:w="957" w:type="dxa"/>
            <w:tcBorders>
              <w:top w:val="nil"/>
              <w:left w:val="nil"/>
              <w:bottom w:val="nil"/>
              <w:right w:val="nil"/>
            </w:tcBorders>
            <w:shd w:val="clear" w:color="auto" w:fill="auto"/>
            <w:noWrap/>
            <w:vAlign w:val="bottom"/>
          </w:tcPr>
          <w:p w14:paraId="22533A57" w14:textId="77777777" w:rsidR="00C92EDD" w:rsidRPr="004A782C" w:rsidRDefault="00C92EDD" w:rsidP="00B27EBA">
            <w:pPr>
              <w:spacing w:after="0"/>
              <w:contextualSpacing/>
              <w:jc w:val="both"/>
              <w:rPr>
                <w:rFonts w:eastAsia="Times New Roman"/>
                <w:color w:val="000000" w:themeColor="text1"/>
                <w:lang w:bidi="ne-NP"/>
              </w:rPr>
            </w:pPr>
          </w:p>
        </w:tc>
        <w:tc>
          <w:tcPr>
            <w:tcW w:w="836" w:type="dxa"/>
            <w:tcBorders>
              <w:top w:val="nil"/>
              <w:left w:val="nil"/>
              <w:bottom w:val="nil"/>
              <w:right w:val="nil"/>
            </w:tcBorders>
            <w:shd w:val="clear" w:color="auto" w:fill="auto"/>
            <w:noWrap/>
            <w:vAlign w:val="bottom"/>
          </w:tcPr>
          <w:p w14:paraId="6DF1CF88"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6AB3CE44" w14:textId="77777777" w:rsidTr="00EE3BE0">
        <w:trPr>
          <w:trHeight w:val="581"/>
        </w:trPr>
        <w:tc>
          <w:tcPr>
            <w:tcW w:w="2326" w:type="dxa"/>
            <w:tcBorders>
              <w:top w:val="nil"/>
              <w:left w:val="nil"/>
              <w:bottom w:val="nil"/>
              <w:right w:val="nil"/>
            </w:tcBorders>
            <w:shd w:val="clear" w:color="auto" w:fill="auto"/>
            <w:vAlign w:val="center"/>
          </w:tcPr>
          <w:p w14:paraId="300C07E0" w14:textId="13FD20D6"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RS1 </w:t>
            </w:r>
            <w:r w:rsidRPr="004A782C">
              <w:rPr>
                <w:rFonts w:eastAsia="Times New Roman"/>
                <w:color w:val="000000"/>
                <w:lang w:bidi="ne-NP"/>
              </w:rPr>
              <w:t>Factor</w:t>
            </w:r>
          </w:p>
        </w:tc>
        <w:tc>
          <w:tcPr>
            <w:tcW w:w="2184" w:type="dxa"/>
            <w:tcBorders>
              <w:top w:val="nil"/>
              <w:left w:val="nil"/>
              <w:bottom w:val="nil"/>
              <w:right w:val="nil"/>
            </w:tcBorders>
            <w:shd w:val="clear" w:color="auto" w:fill="auto"/>
            <w:vAlign w:val="center"/>
          </w:tcPr>
          <w:p w14:paraId="5896FB4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First Two Years</w:t>
            </w:r>
          </w:p>
        </w:tc>
        <w:tc>
          <w:tcPr>
            <w:tcW w:w="821" w:type="dxa"/>
            <w:tcBorders>
              <w:top w:val="nil"/>
              <w:left w:val="nil"/>
              <w:bottom w:val="nil"/>
              <w:right w:val="nil"/>
            </w:tcBorders>
            <w:shd w:val="clear" w:color="auto" w:fill="auto"/>
            <w:vAlign w:val="center"/>
          </w:tcPr>
          <w:p w14:paraId="3333E4DC" w14:textId="77777777" w:rsidR="00C92EDD" w:rsidRPr="004A782C" w:rsidRDefault="00C92EDD" w:rsidP="00B27EBA">
            <w:pPr>
              <w:spacing w:after="0"/>
              <w:contextualSpacing/>
              <w:jc w:val="both"/>
              <w:rPr>
                <w:color w:val="000000"/>
              </w:rPr>
            </w:pPr>
            <w:r w:rsidRPr="004A782C">
              <w:rPr>
                <w:color w:val="000000"/>
              </w:rPr>
              <w:t>8.05</w:t>
            </w:r>
          </w:p>
        </w:tc>
        <w:tc>
          <w:tcPr>
            <w:tcW w:w="820" w:type="dxa"/>
            <w:tcBorders>
              <w:top w:val="nil"/>
              <w:left w:val="nil"/>
              <w:bottom w:val="nil"/>
              <w:right w:val="nil"/>
            </w:tcBorders>
            <w:shd w:val="clear" w:color="auto" w:fill="auto"/>
            <w:vAlign w:val="center"/>
          </w:tcPr>
          <w:p w14:paraId="68DF999F" w14:textId="77777777" w:rsidR="00C92EDD" w:rsidRPr="004A782C" w:rsidRDefault="00C92EDD" w:rsidP="00B27EBA">
            <w:pPr>
              <w:spacing w:after="0"/>
              <w:contextualSpacing/>
              <w:jc w:val="both"/>
              <w:rPr>
                <w:color w:val="000000"/>
              </w:rPr>
            </w:pPr>
            <w:r w:rsidRPr="004A782C">
              <w:rPr>
                <w:color w:val="000000"/>
              </w:rPr>
              <w:t>5.41</w:t>
            </w:r>
          </w:p>
        </w:tc>
        <w:tc>
          <w:tcPr>
            <w:tcW w:w="821" w:type="dxa"/>
            <w:tcBorders>
              <w:top w:val="nil"/>
              <w:left w:val="nil"/>
              <w:bottom w:val="nil"/>
              <w:right w:val="nil"/>
            </w:tcBorders>
            <w:shd w:val="clear" w:color="auto" w:fill="auto"/>
            <w:noWrap/>
            <w:vAlign w:val="center"/>
          </w:tcPr>
          <w:p w14:paraId="65155076"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0.20</w:t>
            </w:r>
          </w:p>
        </w:tc>
        <w:tc>
          <w:tcPr>
            <w:tcW w:w="957" w:type="dxa"/>
            <w:tcBorders>
              <w:top w:val="nil"/>
              <w:left w:val="nil"/>
              <w:bottom w:val="nil"/>
              <w:right w:val="nil"/>
            </w:tcBorders>
            <w:shd w:val="clear" w:color="auto" w:fill="auto"/>
            <w:noWrap/>
            <w:vAlign w:val="center"/>
          </w:tcPr>
          <w:p w14:paraId="7DBCA7B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182.22</w:t>
            </w:r>
          </w:p>
        </w:tc>
        <w:tc>
          <w:tcPr>
            <w:tcW w:w="836" w:type="dxa"/>
            <w:tcBorders>
              <w:top w:val="nil"/>
              <w:left w:val="nil"/>
              <w:bottom w:val="nil"/>
              <w:right w:val="nil"/>
            </w:tcBorders>
            <w:shd w:val="clear" w:color="auto" w:fill="auto"/>
            <w:noWrap/>
            <w:vAlign w:val="center"/>
          </w:tcPr>
          <w:p w14:paraId="497A0F8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0.838</w:t>
            </w:r>
          </w:p>
        </w:tc>
      </w:tr>
      <w:tr w:rsidR="00C92EDD" w:rsidRPr="004A782C" w14:paraId="2FCDE4AE" w14:textId="77777777" w:rsidTr="00EE3BE0">
        <w:trPr>
          <w:trHeight w:val="581"/>
        </w:trPr>
        <w:tc>
          <w:tcPr>
            <w:tcW w:w="2326" w:type="dxa"/>
            <w:tcBorders>
              <w:top w:val="nil"/>
              <w:left w:val="nil"/>
              <w:bottom w:val="nil"/>
              <w:right w:val="nil"/>
            </w:tcBorders>
            <w:shd w:val="clear" w:color="auto" w:fill="auto"/>
            <w:vAlign w:val="center"/>
          </w:tcPr>
          <w:p w14:paraId="0EFD076F"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tcBorders>
              <w:top w:val="nil"/>
              <w:left w:val="nil"/>
              <w:bottom w:val="nil"/>
              <w:right w:val="nil"/>
            </w:tcBorders>
            <w:shd w:val="clear" w:color="auto" w:fill="auto"/>
            <w:vAlign w:val="center"/>
          </w:tcPr>
          <w:p w14:paraId="1C12E30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Last Two Years</w:t>
            </w:r>
          </w:p>
        </w:tc>
        <w:tc>
          <w:tcPr>
            <w:tcW w:w="821" w:type="dxa"/>
            <w:tcBorders>
              <w:top w:val="nil"/>
              <w:left w:val="nil"/>
              <w:bottom w:val="nil"/>
              <w:right w:val="nil"/>
            </w:tcBorders>
            <w:shd w:val="clear" w:color="auto" w:fill="auto"/>
            <w:vAlign w:val="center"/>
          </w:tcPr>
          <w:p w14:paraId="1B9D2644" w14:textId="77777777" w:rsidR="00C92EDD" w:rsidRPr="004A782C" w:rsidRDefault="00C92EDD" w:rsidP="00B27EBA">
            <w:pPr>
              <w:spacing w:after="0"/>
              <w:contextualSpacing/>
              <w:jc w:val="both"/>
              <w:rPr>
                <w:color w:val="000000"/>
              </w:rPr>
            </w:pPr>
            <w:r w:rsidRPr="004A782C">
              <w:rPr>
                <w:color w:val="000000"/>
              </w:rPr>
              <w:t>7.92</w:t>
            </w:r>
          </w:p>
        </w:tc>
        <w:tc>
          <w:tcPr>
            <w:tcW w:w="820" w:type="dxa"/>
            <w:tcBorders>
              <w:top w:val="nil"/>
              <w:left w:val="nil"/>
              <w:bottom w:val="nil"/>
              <w:right w:val="nil"/>
            </w:tcBorders>
            <w:shd w:val="clear" w:color="auto" w:fill="auto"/>
            <w:vAlign w:val="center"/>
          </w:tcPr>
          <w:p w14:paraId="76D1CF8C" w14:textId="77777777" w:rsidR="00C92EDD" w:rsidRPr="004A782C" w:rsidRDefault="00C92EDD" w:rsidP="00B27EBA">
            <w:pPr>
              <w:spacing w:after="0"/>
              <w:contextualSpacing/>
              <w:jc w:val="both"/>
              <w:rPr>
                <w:color w:val="000000"/>
              </w:rPr>
            </w:pPr>
            <w:r w:rsidRPr="004A782C">
              <w:rPr>
                <w:color w:val="000000"/>
              </w:rPr>
              <w:t>4.98</w:t>
            </w:r>
          </w:p>
        </w:tc>
        <w:tc>
          <w:tcPr>
            <w:tcW w:w="821" w:type="dxa"/>
            <w:tcBorders>
              <w:top w:val="nil"/>
              <w:left w:val="nil"/>
              <w:bottom w:val="nil"/>
              <w:right w:val="nil"/>
            </w:tcBorders>
            <w:shd w:val="clear" w:color="auto" w:fill="auto"/>
            <w:noWrap/>
            <w:vAlign w:val="bottom"/>
          </w:tcPr>
          <w:p w14:paraId="6A142DAF" w14:textId="77777777" w:rsidR="00C92EDD" w:rsidRPr="004A782C" w:rsidRDefault="00C92EDD" w:rsidP="00B27EBA">
            <w:pPr>
              <w:spacing w:after="0"/>
              <w:contextualSpacing/>
              <w:jc w:val="both"/>
              <w:rPr>
                <w:rFonts w:eastAsia="Times New Roman"/>
                <w:color w:val="000000" w:themeColor="text1"/>
                <w:lang w:bidi="ne-NP"/>
              </w:rPr>
            </w:pPr>
          </w:p>
        </w:tc>
        <w:tc>
          <w:tcPr>
            <w:tcW w:w="957" w:type="dxa"/>
            <w:tcBorders>
              <w:top w:val="nil"/>
              <w:left w:val="nil"/>
              <w:bottom w:val="nil"/>
              <w:right w:val="nil"/>
            </w:tcBorders>
            <w:shd w:val="clear" w:color="auto" w:fill="auto"/>
            <w:noWrap/>
            <w:vAlign w:val="bottom"/>
          </w:tcPr>
          <w:p w14:paraId="23298E48" w14:textId="77777777" w:rsidR="00C92EDD" w:rsidRPr="004A782C" w:rsidRDefault="00C92EDD" w:rsidP="00B27EBA">
            <w:pPr>
              <w:spacing w:after="0"/>
              <w:contextualSpacing/>
              <w:jc w:val="both"/>
              <w:rPr>
                <w:rFonts w:eastAsia="Times New Roman"/>
                <w:color w:val="000000" w:themeColor="text1"/>
                <w:lang w:bidi="ne-NP"/>
              </w:rPr>
            </w:pPr>
          </w:p>
        </w:tc>
        <w:tc>
          <w:tcPr>
            <w:tcW w:w="836" w:type="dxa"/>
            <w:tcBorders>
              <w:top w:val="nil"/>
              <w:left w:val="nil"/>
              <w:bottom w:val="nil"/>
              <w:right w:val="nil"/>
            </w:tcBorders>
            <w:shd w:val="clear" w:color="auto" w:fill="auto"/>
            <w:noWrap/>
            <w:vAlign w:val="bottom"/>
          </w:tcPr>
          <w:p w14:paraId="0C4435BA"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76228716" w14:textId="77777777" w:rsidTr="00EE3BE0">
        <w:trPr>
          <w:trHeight w:val="581"/>
        </w:trPr>
        <w:tc>
          <w:tcPr>
            <w:tcW w:w="2326" w:type="dxa"/>
            <w:tcBorders>
              <w:top w:val="nil"/>
              <w:left w:val="nil"/>
              <w:bottom w:val="nil"/>
              <w:right w:val="nil"/>
            </w:tcBorders>
            <w:shd w:val="clear" w:color="auto" w:fill="auto"/>
            <w:vAlign w:val="center"/>
          </w:tcPr>
          <w:p w14:paraId="08CAC553" w14:textId="11C40938"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RS2 </w:t>
            </w:r>
            <w:r w:rsidRPr="004A782C">
              <w:rPr>
                <w:rFonts w:eastAsia="Times New Roman"/>
                <w:color w:val="000000"/>
                <w:lang w:bidi="ne-NP"/>
              </w:rPr>
              <w:t>Factor</w:t>
            </w:r>
          </w:p>
        </w:tc>
        <w:tc>
          <w:tcPr>
            <w:tcW w:w="2184" w:type="dxa"/>
            <w:tcBorders>
              <w:top w:val="nil"/>
              <w:left w:val="nil"/>
              <w:bottom w:val="nil"/>
              <w:right w:val="nil"/>
            </w:tcBorders>
            <w:shd w:val="clear" w:color="auto" w:fill="auto"/>
            <w:vAlign w:val="center"/>
          </w:tcPr>
          <w:p w14:paraId="6600BA05"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First Two Years</w:t>
            </w:r>
          </w:p>
        </w:tc>
        <w:tc>
          <w:tcPr>
            <w:tcW w:w="821" w:type="dxa"/>
            <w:tcBorders>
              <w:top w:val="nil"/>
              <w:left w:val="nil"/>
              <w:bottom w:val="nil"/>
              <w:right w:val="nil"/>
            </w:tcBorders>
            <w:shd w:val="clear" w:color="auto" w:fill="auto"/>
            <w:vAlign w:val="center"/>
          </w:tcPr>
          <w:p w14:paraId="44ED4CD9" w14:textId="77777777" w:rsidR="00C92EDD" w:rsidRPr="004A782C" w:rsidRDefault="00C92EDD" w:rsidP="00B27EBA">
            <w:pPr>
              <w:spacing w:after="0"/>
              <w:contextualSpacing/>
              <w:jc w:val="both"/>
              <w:rPr>
                <w:color w:val="000000"/>
              </w:rPr>
            </w:pPr>
            <w:r w:rsidRPr="004A782C">
              <w:rPr>
                <w:color w:val="000000"/>
              </w:rPr>
              <w:t>5.56</w:t>
            </w:r>
          </w:p>
        </w:tc>
        <w:tc>
          <w:tcPr>
            <w:tcW w:w="820" w:type="dxa"/>
            <w:tcBorders>
              <w:top w:val="nil"/>
              <w:left w:val="nil"/>
              <w:bottom w:val="nil"/>
              <w:right w:val="nil"/>
            </w:tcBorders>
            <w:shd w:val="clear" w:color="auto" w:fill="auto"/>
            <w:vAlign w:val="center"/>
          </w:tcPr>
          <w:p w14:paraId="5EAA0469" w14:textId="77777777" w:rsidR="00C92EDD" w:rsidRPr="004A782C" w:rsidRDefault="00C92EDD" w:rsidP="00B27EBA">
            <w:pPr>
              <w:spacing w:after="0"/>
              <w:contextualSpacing/>
              <w:jc w:val="both"/>
              <w:rPr>
                <w:color w:val="000000"/>
              </w:rPr>
            </w:pPr>
            <w:r w:rsidRPr="004A782C">
              <w:rPr>
                <w:color w:val="000000"/>
              </w:rPr>
              <w:t>4.57</w:t>
            </w:r>
          </w:p>
        </w:tc>
        <w:tc>
          <w:tcPr>
            <w:tcW w:w="821" w:type="dxa"/>
            <w:tcBorders>
              <w:top w:val="nil"/>
              <w:left w:val="nil"/>
              <w:bottom w:val="nil"/>
              <w:right w:val="nil"/>
            </w:tcBorders>
            <w:shd w:val="clear" w:color="auto" w:fill="auto"/>
            <w:noWrap/>
            <w:vAlign w:val="center"/>
          </w:tcPr>
          <w:p w14:paraId="3B781958"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-0.07</w:t>
            </w:r>
          </w:p>
        </w:tc>
        <w:tc>
          <w:tcPr>
            <w:tcW w:w="957" w:type="dxa"/>
            <w:tcBorders>
              <w:top w:val="nil"/>
              <w:left w:val="nil"/>
              <w:bottom w:val="nil"/>
              <w:right w:val="nil"/>
            </w:tcBorders>
            <w:shd w:val="clear" w:color="auto" w:fill="auto"/>
            <w:noWrap/>
            <w:vAlign w:val="center"/>
          </w:tcPr>
          <w:p w14:paraId="09711FB6"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170.06</w:t>
            </w:r>
          </w:p>
        </w:tc>
        <w:tc>
          <w:tcPr>
            <w:tcW w:w="836" w:type="dxa"/>
            <w:tcBorders>
              <w:top w:val="nil"/>
              <w:left w:val="nil"/>
              <w:bottom w:val="nil"/>
              <w:right w:val="nil"/>
            </w:tcBorders>
            <w:shd w:val="clear" w:color="auto" w:fill="auto"/>
            <w:noWrap/>
            <w:vAlign w:val="center"/>
          </w:tcPr>
          <w:p w14:paraId="53DA3B5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0.946</w:t>
            </w:r>
          </w:p>
        </w:tc>
      </w:tr>
      <w:tr w:rsidR="00C92EDD" w:rsidRPr="004A782C" w14:paraId="369796D0" w14:textId="77777777" w:rsidTr="00EE3BE0">
        <w:trPr>
          <w:trHeight w:val="581"/>
        </w:trPr>
        <w:tc>
          <w:tcPr>
            <w:tcW w:w="2326" w:type="dxa"/>
            <w:tcBorders>
              <w:top w:val="nil"/>
              <w:left w:val="nil"/>
              <w:bottom w:val="nil"/>
              <w:right w:val="nil"/>
            </w:tcBorders>
            <w:shd w:val="clear" w:color="auto" w:fill="auto"/>
            <w:vAlign w:val="center"/>
          </w:tcPr>
          <w:p w14:paraId="25A55014"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tcBorders>
              <w:top w:val="nil"/>
              <w:left w:val="nil"/>
              <w:bottom w:val="nil"/>
              <w:right w:val="nil"/>
            </w:tcBorders>
            <w:shd w:val="clear" w:color="auto" w:fill="auto"/>
            <w:vAlign w:val="center"/>
          </w:tcPr>
          <w:p w14:paraId="51FDD71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Last Two Years</w:t>
            </w:r>
          </w:p>
        </w:tc>
        <w:tc>
          <w:tcPr>
            <w:tcW w:w="821" w:type="dxa"/>
            <w:tcBorders>
              <w:top w:val="nil"/>
              <w:left w:val="nil"/>
              <w:bottom w:val="nil"/>
              <w:right w:val="nil"/>
            </w:tcBorders>
            <w:shd w:val="clear" w:color="auto" w:fill="auto"/>
            <w:vAlign w:val="center"/>
          </w:tcPr>
          <w:p w14:paraId="1232A186" w14:textId="77777777" w:rsidR="00C92EDD" w:rsidRPr="004A782C" w:rsidRDefault="00C92EDD" w:rsidP="00B27EBA">
            <w:pPr>
              <w:spacing w:after="0"/>
              <w:contextualSpacing/>
              <w:jc w:val="both"/>
              <w:rPr>
                <w:color w:val="000000"/>
              </w:rPr>
            </w:pPr>
            <w:r w:rsidRPr="004A782C">
              <w:rPr>
                <w:color w:val="000000"/>
              </w:rPr>
              <w:t>5.60</w:t>
            </w:r>
          </w:p>
        </w:tc>
        <w:tc>
          <w:tcPr>
            <w:tcW w:w="820" w:type="dxa"/>
            <w:tcBorders>
              <w:top w:val="nil"/>
              <w:left w:val="nil"/>
              <w:bottom w:val="nil"/>
              <w:right w:val="nil"/>
            </w:tcBorders>
            <w:shd w:val="clear" w:color="auto" w:fill="auto"/>
            <w:vAlign w:val="center"/>
          </w:tcPr>
          <w:p w14:paraId="3B6B3C51" w14:textId="77777777" w:rsidR="00C92EDD" w:rsidRPr="004A782C" w:rsidRDefault="00C92EDD" w:rsidP="00B27EBA">
            <w:pPr>
              <w:spacing w:after="0"/>
              <w:contextualSpacing/>
              <w:jc w:val="both"/>
              <w:rPr>
                <w:color w:val="000000"/>
              </w:rPr>
            </w:pPr>
            <w:r w:rsidRPr="004A782C">
              <w:rPr>
                <w:color w:val="000000"/>
              </w:rPr>
              <w:t>4.53</w:t>
            </w:r>
          </w:p>
        </w:tc>
        <w:tc>
          <w:tcPr>
            <w:tcW w:w="821" w:type="dxa"/>
            <w:tcBorders>
              <w:top w:val="nil"/>
              <w:left w:val="nil"/>
              <w:bottom w:val="nil"/>
              <w:right w:val="nil"/>
            </w:tcBorders>
            <w:shd w:val="clear" w:color="auto" w:fill="auto"/>
            <w:noWrap/>
            <w:vAlign w:val="bottom"/>
          </w:tcPr>
          <w:p w14:paraId="1BF5B077" w14:textId="77777777" w:rsidR="00C92EDD" w:rsidRPr="004A782C" w:rsidRDefault="00C92EDD" w:rsidP="00B27EBA">
            <w:pPr>
              <w:spacing w:after="0"/>
              <w:contextualSpacing/>
              <w:jc w:val="both"/>
              <w:rPr>
                <w:rFonts w:eastAsia="Times New Roman"/>
                <w:color w:val="000000" w:themeColor="text1"/>
                <w:lang w:bidi="ne-NP"/>
              </w:rPr>
            </w:pPr>
          </w:p>
        </w:tc>
        <w:tc>
          <w:tcPr>
            <w:tcW w:w="957" w:type="dxa"/>
            <w:tcBorders>
              <w:top w:val="nil"/>
              <w:left w:val="nil"/>
              <w:bottom w:val="nil"/>
              <w:right w:val="nil"/>
            </w:tcBorders>
            <w:shd w:val="clear" w:color="auto" w:fill="auto"/>
            <w:noWrap/>
            <w:vAlign w:val="bottom"/>
          </w:tcPr>
          <w:p w14:paraId="3B7F922F" w14:textId="77777777" w:rsidR="00C92EDD" w:rsidRPr="004A782C" w:rsidRDefault="00C92EDD" w:rsidP="00B27EBA">
            <w:pPr>
              <w:spacing w:after="0"/>
              <w:contextualSpacing/>
              <w:jc w:val="both"/>
              <w:rPr>
                <w:rFonts w:eastAsia="Times New Roman"/>
                <w:color w:val="000000" w:themeColor="text1"/>
                <w:lang w:bidi="ne-NP"/>
              </w:rPr>
            </w:pPr>
          </w:p>
        </w:tc>
        <w:tc>
          <w:tcPr>
            <w:tcW w:w="836" w:type="dxa"/>
            <w:tcBorders>
              <w:top w:val="nil"/>
              <w:left w:val="nil"/>
              <w:bottom w:val="nil"/>
              <w:right w:val="nil"/>
            </w:tcBorders>
            <w:shd w:val="clear" w:color="auto" w:fill="auto"/>
            <w:noWrap/>
            <w:vAlign w:val="bottom"/>
          </w:tcPr>
          <w:p w14:paraId="2817DD75"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18D67EF6" w14:textId="77777777" w:rsidTr="00EE3BE0">
        <w:trPr>
          <w:trHeight w:val="581"/>
        </w:trPr>
        <w:tc>
          <w:tcPr>
            <w:tcW w:w="2326" w:type="dxa"/>
            <w:tcBorders>
              <w:top w:val="nil"/>
              <w:left w:val="nil"/>
              <w:bottom w:val="nil"/>
              <w:right w:val="nil"/>
            </w:tcBorders>
            <w:shd w:val="clear" w:color="auto" w:fill="auto"/>
            <w:vAlign w:val="center"/>
          </w:tcPr>
          <w:p w14:paraId="70818413" w14:textId="76C1821D"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lastRenderedPageBreak/>
              <w:t xml:space="preserve">ATMHP Total </w:t>
            </w:r>
          </w:p>
        </w:tc>
        <w:tc>
          <w:tcPr>
            <w:tcW w:w="2184" w:type="dxa"/>
            <w:tcBorders>
              <w:top w:val="nil"/>
              <w:left w:val="nil"/>
              <w:bottom w:val="nil"/>
              <w:right w:val="nil"/>
            </w:tcBorders>
            <w:shd w:val="clear" w:color="auto" w:fill="auto"/>
            <w:vAlign w:val="center"/>
          </w:tcPr>
          <w:p w14:paraId="33B4B6E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First Two Years</w:t>
            </w:r>
          </w:p>
        </w:tc>
        <w:tc>
          <w:tcPr>
            <w:tcW w:w="821" w:type="dxa"/>
            <w:tcBorders>
              <w:top w:val="nil"/>
              <w:left w:val="nil"/>
              <w:bottom w:val="nil"/>
              <w:right w:val="nil"/>
            </w:tcBorders>
            <w:shd w:val="clear" w:color="auto" w:fill="auto"/>
            <w:vAlign w:val="center"/>
          </w:tcPr>
          <w:p w14:paraId="36DA7CD6" w14:textId="77777777" w:rsidR="00C92EDD" w:rsidRPr="004A782C" w:rsidRDefault="00C92EDD" w:rsidP="00B27EBA">
            <w:pPr>
              <w:spacing w:after="0"/>
              <w:contextualSpacing/>
              <w:jc w:val="both"/>
              <w:rPr>
                <w:color w:val="000000"/>
              </w:rPr>
            </w:pPr>
            <w:r w:rsidRPr="004A782C">
              <w:rPr>
                <w:color w:val="000000"/>
              </w:rPr>
              <w:t>34.52</w:t>
            </w:r>
          </w:p>
        </w:tc>
        <w:tc>
          <w:tcPr>
            <w:tcW w:w="820" w:type="dxa"/>
            <w:tcBorders>
              <w:top w:val="nil"/>
              <w:left w:val="nil"/>
              <w:bottom w:val="nil"/>
              <w:right w:val="nil"/>
            </w:tcBorders>
            <w:shd w:val="clear" w:color="auto" w:fill="auto"/>
            <w:vAlign w:val="center"/>
          </w:tcPr>
          <w:p w14:paraId="76F3F64E" w14:textId="77777777" w:rsidR="00C92EDD" w:rsidRPr="004A782C" w:rsidRDefault="00C92EDD" w:rsidP="00B27EBA">
            <w:pPr>
              <w:spacing w:after="0"/>
              <w:contextualSpacing/>
              <w:jc w:val="both"/>
              <w:rPr>
                <w:color w:val="000000"/>
              </w:rPr>
            </w:pPr>
            <w:r w:rsidRPr="004A782C">
              <w:rPr>
                <w:color w:val="000000"/>
              </w:rPr>
              <w:t>19.64</w:t>
            </w:r>
          </w:p>
        </w:tc>
        <w:tc>
          <w:tcPr>
            <w:tcW w:w="821" w:type="dxa"/>
            <w:tcBorders>
              <w:top w:val="nil"/>
              <w:left w:val="nil"/>
              <w:bottom w:val="nil"/>
              <w:right w:val="nil"/>
            </w:tcBorders>
            <w:shd w:val="clear" w:color="auto" w:fill="auto"/>
            <w:noWrap/>
            <w:vAlign w:val="center"/>
          </w:tcPr>
          <w:p w14:paraId="083D030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-0.76</w:t>
            </w:r>
          </w:p>
        </w:tc>
        <w:tc>
          <w:tcPr>
            <w:tcW w:w="957" w:type="dxa"/>
            <w:tcBorders>
              <w:top w:val="nil"/>
              <w:left w:val="nil"/>
              <w:bottom w:val="nil"/>
              <w:right w:val="nil"/>
            </w:tcBorders>
            <w:shd w:val="clear" w:color="auto" w:fill="auto"/>
            <w:noWrap/>
            <w:vAlign w:val="center"/>
          </w:tcPr>
          <w:p w14:paraId="27A8E9C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173.19</w:t>
            </w:r>
          </w:p>
        </w:tc>
        <w:tc>
          <w:tcPr>
            <w:tcW w:w="836" w:type="dxa"/>
            <w:tcBorders>
              <w:top w:val="nil"/>
              <w:left w:val="nil"/>
              <w:bottom w:val="nil"/>
              <w:right w:val="nil"/>
            </w:tcBorders>
            <w:shd w:val="clear" w:color="auto" w:fill="auto"/>
            <w:noWrap/>
            <w:vAlign w:val="center"/>
          </w:tcPr>
          <w:p w14:paraId="161E05F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0.447</w:t>
            </w:r>
          </w:p>
        </w:tc>
      </w:tr>
      <w:tr w:rsidR="00C92EDD" w:rsidRPr="004A782C" w14:paraId="11C37C18" w14:textId="77777777" w:rsidTr="00EE3BE0">
        <w:trPr>
          <w:trHeight w:val="581"/>
        </w:trPr>
        <w:tc>
          <w:tcPr>
            <w:tcW w:w="2326" w:type="dxa"/>
            <w:tcBorders>
              <w:top w:val="nil"/>
              <w:left w:val="nil"/>
              <w:bottom w:val="single" w:sz="4" w:space="0" w:color="auto"/>
              <w:right w:val="nil"/>
            </w:tcBorders>
            <w:shd w:val="clear" w:color="auto" w:fill="auto"/>
            <w:vAlign w:val="center"/>
          </w:tcPr>
          <w:p w14:paraId="77D174BC" w14:textId="4FF952B5" w:rsidR="00C92EDD" w:rsidRPr="004A782C" w:rsidRDefault="00C92EDD" w:rsidP="00B27EBA">
            <w:pPr>
              <w:spacing w:after="0"/>
              <w:contextualSpacing/>
              <w:jc w:val="both"/>
              <w:rPr>
                <w:rFonts w:eastAsia="Times New Roman"/>
                <w:color w:val="000000" w:themeColor="text1"/>
                <w:lang w:bidi="ne-NP"/>
              </w:rPr>
            </w:pPr>
          </w:p>
        </w:tc>
        <w:tc>
          <w:tcPr>
            <w:tcW w:w="2184" w:type="dxa"/>
            <w:tcBorders>
              <w:top w:val="nil"/>
              <w:left w:val="nil"/>
              <w:bottom w:val="single" w:sz="4" w:space="0" w:color="auto"/>
              <w:right w:val="nil"/>
            </w:tcBorders>
            <w:shd w:val="clear" w:color="auto" w:fill="auto"/>
            <w:vAlign w:val="center"/>
          </w:tcPr>
          <w:p w14:paraId="39785A8A"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Last Two Years</w:t>
            </w:r>
          </w:p>
        </w:tc>
        <w:tc>
          <w:tcPr>
            <w:tcW w:w="821" w:type="dxa"/>
            <w:tcBorders>
              <w:top w:val="nil"/>
              <w:left w:val="nil"/>
              <w:bottom w:val="single" w:sz="4" w:space="0" w:color="auto"/>
              <w:right w:val="nil"/>
            </w:tcBorders>
            <w:shd w:val="clear" w:color="auto" w:fill="auto"/>
            <w:vAlign w:val="center"/>
          </w:tcPr>
          <w:p w14:paraId="59363EEA" w14:textId="77777777" w:rsidR="00C92EDD" w:rsidRPr="004A782C" w:rsidRDefault="00C92EDD" w:rsidP="00B27EBA">
            <w:pPr>
              <w:spacing w:after="0"/>
              <w:contextualSpacing/>
              <w:jc w:val="both"/>
              <w:rPr>
                <w:color w:val="000000"/>
              </w:rPr>
            </w:pPr>
            <w:r w:rsidRPr="004A782C">
              <w:rPr>
                <w:color w:val="000000"/>
              </w:rPr>
              <w:t>36.33</w:t>
            </w:r>
          </w:p>
        </w:tc>
        <w:tc>
          <w:tcPr>
            <w:tcW w:w="820" w:type="dxa"/>
            <w:tcBorders>
              <w:top w:val="nil"/>
              <w:left w:val="nil"/>
              <w:bottom w:val="single" w:sz="4" w:space="0" w:color="auto"/>
              <w:right w:val="nil"/>
            </w:tcBorders>
            <w:shd w:val="clear" w:color="auto" w:fill="auto"/>
            <w:vAlign w:val="center"/>
          </w:tcPr>
          <w:p w14:paraId="11188E99" w14:textId="77777777" w:rsidR="00C92EDD" w:rsidRPr="004A782C" w:rsidRDefault="00C92EDD" w:rsidP="00B27EBA">
            <w:pPr>
              <w:spacing w:after="0"/>
              <w:contextualSpacing/>
              <w:jc w:val="both"/>
              <w:rPr>
                <w:color w:val="000000"/>
              </w:rPr>
            </w:pPr>
            <w:r w:rsidRPr="004A782C">
              <w:rPr>
                <w:color w:val="000000"/>
              </w:rPr>
              <w:t>19.07</w:t>
            </w:r>
          </w:p>
        </w:tc>
        <w:tc>
          <w:tcPr>
            <w:tcW w:w="821" w:type="dxa"/>
            <w:tcBorders>
              <w:top w:val="nil"/>
              <w:left w:val="nil"/>
              <w:bottom w:val="single" w:sz="4" w:space="0" w:color="auto"/>
              <w:right w:val="nil"/>
            </w:tcBorders>
            <w:shd w:val="clear" w:color="auto" w:fill="auto"/>
            <w:noWrap/>
            <w:vAlign w:val="bottom"/>
          </w:tcPr>
          <w:p w14:paraId="76233329" w14:textId="77777777" w:rsidR="00C92EDD" w:rsidRPr="004A782C" w:rsidRDefault="00C92EDD" w:rsidP="00B27EBA">
            <w:pPr>
              <w:spacing w:after="0"/>
              <w:contextualSpacing/>
              <w:jc w:val="both"/>
              <w:rPr>
                <w:rFonts w:eastAsia="Times New Roman"/>
                <w:color w:val="000000" w:themeColor="text1"/>
                <w:lang w:bidi="ne-NP"/>
              </w:rPr>
            </w:pPr>
          </w:p>
        </w:tc>
        <w:tc>
          <w:tcPr>
            <w:tcW w:w="957" w:type="dxa"/>
            <w:tcBorders>
              <w:top w:val="nil"/>
              <w:left w:val="nil"/>
              <w:bottom w:val="single" w:sz="4" w:space="0" w:color="auto"/>
              <w:right w:val="nil"/>
            </w:tcBorders>
            <w:shd w:val="clear" w:color="auto" w:fill="auto"/>
            <w:noWrap/>
            <w:vAlign w:val="bottom"/>
          </w:tcPr>
          <w:p w14:paraId="3F6E92D9" w14:textId="77777777" w:rsidR="00C92EDD" w:rsidRPr="004A782C" w:rsidRDefault="00C92EDD" w:rsidP="00B27EBA">
            <w:pPr>
              <w:spacing w:after="0"/>
              <w:contextualSpacing/>
              <w:jc w:val="both"/>
              <w:rPr>
                <w:rFonts w:eastAsia="Times New Roman"/>
                <w:color w:val="000000" w:themeColor="text1"/>
                <w:lang w:bidi="ne-NP"/>
              </w:rPr>
            </w:pPr>
          </w:p>
        </w:tc>
        <w:tc>
          <w:tcPr>
            <w:tcW w:w="836" w:type="dxa"/>
            <w:tcBorders>
              <w:top w:val="nil"/>
              <w:left w:val="nil"/>
              <w:bottom w:val="single" w:sz="4" w:space="0" w:color="auto"/>
              <w:right w:val="nil"/>
            </w:tcBorders>
            <w:shd w:val="clear" w:color="auto" w:fill="auto"/>
            <w:noWrap/>
            <w:vAlign w:val="bottom"/>
          </w:tcPr>
          <w:p w14:paraId="1004587D" w14:textId="77777777" w:rsidR="00C92EDD" w:rsidRPr="004A782C" w:rsidRDefault="00C92EDD" w:rsidP="00B27EBA">
            <w:pPr>
              <w:spacing w:after="0"/>
              <w:contextualSpacing/>
              <w:jc w:val="both"/>
              <w:rPr>
                <w:rFonts w:eastAsia="Times New Roman"/>
                <w:color w:val="000000" w:themeColor="text1"/>
                <w:lang w:bidi="ne-NP"/>
              </w:rPr>
            </w:pPr>
          </w:p>
        </w:tc>
      </w:tr>
      <w:tr w:rsidR="00C64C95" w:rsidRPr="004A782C" w14:paraId="2569FB2A" w14:textId="77777777" w:rsidTr="00EE3BE0">
        <w:trPr>
          <w:trHeight w:val="319"/>
        </w:trPr>
        <w:tc>
          <w:tcPr>
            <w:tcW w:w="8765" w:type="dxa"/>
            <w:gridSpan w:val="7"/>
            <w:tcBorders>
              <w:top w:val="single" w:sz="4" w:space="0" w:color="auto"/>
              <w:bottom w:val="single" w:sz="4" w:space="0" w:color="auto"/>
            </w:tcBorders>
            <w:shd w:val="clear" w:color="auto" w:fill="auto"/>
            <w:vAlign w:val="center"/>
            <w:hideMark/>
          </w:tcPr>
          <w:p w14:paraId="137C5F8A" w14:textId="77777777" w:rsidR="00C64C95" w:rsidRPr="004A782C" w:rsidRDefault="00C64C95" w:rsidP="00B27EBA">
            <w:pPr>
              <w:spacing w:after="0"/>
              <w:contextualSpacing/>
              <w:jc w:val="both"/>
              <w:rPr>
                <w:rFonts w:eastAsia="Times New Roman"/>
                <w:color w:val="000000" w:themeColor="text1"/>
                <w:lang w:bidi="ne-NP"/>
              </w:rPr>
            </w:pPr>
            <w:r w:rsidRPr="004A782C">
              <w:rPr>
                <w:noProof/>
                <w:color w:val="000000" w:themeColor="text1"/>
              </w:rPr>
              <w:t xml:space="preserve">PNKPMHP and </w:t>
            </w:r>
            <w:r w:rsidRPr="004A782C">
              <w:rPr>
                <w:rFonts w:eastAsia="Times New Roman"/>
                <w:color w:val="000000" w:themeColor="text1"/>
                <w:lang w:bidi="ne-NP"/>
              </w:rPr>
              <w:t>PKPMHP [</w:t>
            </w:r>
            <w:r w:rsidRPr="004A782C">
              <w:rPr>
                <w:noProof/>
                <w:color w:val="000000" w:themeColor="text1"/>
              </w:rPr>
              <w:t>PNKPMHP</w:t>
            </w:r>
            <w:r w:rsidRPr="004A782C">
              <w:rPr>
                <w:rFonts w:eastAsia="Times New Roman"/>
                <w:color w:val="000000" w:themeColor="text1"/>
                <w:lang w:bidi="ne-NP"/>
              </w:rPr>
              <w:t xml:space="preserve"> (</w:t>
            </w:r>
            <w:r w:rsidRPr="004A782C">
              <w:rPr>
                <w:rFonts w:eastAsia="Times New Roman"/>
                <w:i/>
                <w:iCs/>
                <w:color w:val="000000" w:themeColor="text1"/>
                <w:lang w:bidi="ne-NP"/>
              </w:rPr>
              <w:t>N</w:t>
            </w:r>
            <w:r w:rsidRPr="004A782C">
              <w:rPr>
                <w:rFonts w:eastAsia="Times New Roman"/>
                <w:color w:val="000000" w:themeColor="text1"/>
                <w:lang w:bidi="ne-NP"/>
              </w:rPr>
              <w:t xml:space="preserve"> = 214), PKPMHP (</w:t>
            </w:r>
            <w:r w:rsidRPr="004A782C">
              <w:rPr>
                <w:rFonts w:eastAsia="Times New Roman"/>
                <w:i/>
                <w:iCs/>
                <w:color w:val="000000" w:themeColor="text1"/>
                <w:lang w:bidi="ne-NP"/>
              </w:rPr>
              <w:t>N</w:t>
            </w:r>
            <w:r w:rsidRPr="004A782C">
              <w:rPr>
                <w:rFonts w:eastAsia="Times New Roman"/>
                <w:color w:val="000000" w:themeColor="text1"/>
                <w:lang w:bidi="ne-NP"/>
              </w:rPr>
              <w:t xml:space="preserve"> = 86)]</w:t>
            </w:r>
          </w:p>
        </w:tc>
      </w:tr>
      <w:tr w:rsidR="00C92EDD" w:rsidRPr="004A782C" w14:paraId="62C9E17E" w14:textId="77777777" w:rsidTr="00C92EDD">
        <w:trPr>
          <w:trHeight w:val="575"/>
        </w:trPr>
        <w:tc>
          <w:tcPr>
            <w:tcW w:w="2326" w:type="dxa"/>
            <w:tcBorders>
              <w:top w:val="single" w:sz="4" w:space="0" w:color="auto"/>
            </w:tcBorders>
            <w:shd w:val="clear" w:color="auto" w:fill="auto"/>
            <w:vAlign w:val="center"/>
          </w:tcPr>
          <w:p w14:paraId="6DD53F6A" w14:textId="1BCAC9F0"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ATMHP </w:t>
            </w:r>
            <w:r w:rsidRPr="004A782C">
              <w:rPr>
                <w:rFonts w:eastAsia="Times New Roman"/>
                <w:color w:val="000000"/>
                <w:lang w:bidi="ne-NP"/>
              </w:rPr>
              <w:t>Factor</w:t>
            </w:r>
          </w:p>
        </w:tc>
        <w:tc>
          <w:tcPr>
            <w:tcW w:w="2184" w:type="dxa"/>
            <w:tcBorders>
              <w:top w:val="single" w:sz="4" w:space="0" w:color="auto"/>
            </w:tcBorders>
            <w:shd w:val="clear" w:color="auto" w:fill="auto"/>
            <w:noWrap/>
            <w:vAlign w:val="center"/>
          </w:tcPr>
          <w:p w14:paraId="28EEB873" w14:textId="620F2A16"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do not knows PMHP</w:t>
            </w:r>
          </w:p>
        </w:tc>
        <w:tc>
          <w:tcPr>
            <w:tcW w:w="821" w:type="dxa"/>
            <w:tcBorders>
              <w:top w:val="single" w:sz="4" w:space="0" w:color="auto"/>
            </w:tcBorders>
            <w:shd w:val="clear" w:color="auto" w:fill="auto"/>
            <w:vAlign w:val="center"/>
          </w:tcPr>
          <w:p w14:paraId="6926DFD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8.97</w:t>
            </w:r>
          </w:p>
        </w:tc>
        <w:tc>
          <w:tcPr>
            <w:tcW w:w="820" w:type="dxa"/>
            <w:tcBorders>
              <w:top w:val="single" w:sz="4" w:space="0" w:color="auto"/>
            </w:tcBorders>
            <w:shd w:val="clear" w:color="auto" w:fill="auto"/>
            <w:vAlign w:val="center"/>
          </w:tcPr>
          <w:p w14:paraId="1365AFD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5.10</w:t>
            </w:r>
          </w:p>
        </w:tc>
        <w:tc>
          <w:tcPr>
            <w:tcW w:w="821" w:type="dxa"/>
            <w:tcBorders>
              <w:top w:val="single" w:sz="4" w:space="0" w:color="auto"/>
            </w:tcBorders>
            <w:shd w:val="clear" w:color="auto" w:fill="auto"/>
            <w:vAlign w:val="center"/>
          </w:tcPr>
          <w:p w14:paraId="3F18A80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-0.21</w:t>
            </w:r>
          </w:p>
        </w:tc>
        <w:tc>
          <w:tcPr>
            <w:tcW w:w="957" w:type="dxa"/>
            <w:tcBorders>
              <w:top w:val="single" w:sz="4" w:space="0" w:color="auto"/>
            </w:tcBorders>
            <w:shd w:val="clear" w:color="auto" w:fill="auto"/>
            <w:vAlign w:val="center"/>
          </w:tcPr>
          <w:p w14:paraId="2FF3AA6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149.96</w:t>
            </w:r>
          </w:p>
        </w:tc>
        <w:tc>
          <w:tcPr>
            <w:tcW w:w="836" w:type="dxa"/>
            <w:tcBorders>
              <w:top w:val="single" w:sz="4" w:space="0" w:color="auto"/>
            </w:tcBorders>
            <w:shd w:val="clear" w:color="auto" w:fill="auto"/>
            <w:vAlign w:val="center"/>
          </w:tcPr>
          <w:p w14:paraId="31DC12C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0.831</w:t>
            </w:r>
          </w:p>
        </w:tc>
      </w:tr>
      <w:tr w:rsidR="00C92EDD" w:rsidRPr="004A782C" w14:paraId="5843D555" w14:textId="77777777" w:rsidTr="00C92EDD">
        <w:trPr>
          <w:trHeight w:val="319"/>
        </w:trPr>
        <w:tc>
          <w:tcPr>
            <w:tcW w:w="2326" w:type="dxa"/>
            <w:shd w:val="clear" w:color="auto" w:fill="auto"/>
            <w:vAlign w:val="center"/>
            <w:hideMark/>
          </w:tcPr>
          <w:p w14:paraId="75DC8041"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noWrap/>
            <w:vAlign w:val="center"/>
            <w:hideMark/>
          </w:tcPr>
          <w:p w14:paraId="27312385" w14:textId="5F93F875"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knows PMHP</w:t>
            </w:r>
          </w:p>
        </w:tc>
        <w:tc>
          <w:tcPr>
            <w:tcW w:w="821" w:type="dxa"/>
            <w:shd w:val="clear" w:color="auto" w:fill="auto"/>
            <w:vAlign w:val="center"/>
            <w:hideMark/>
          </w:tcPr>
          <w:p w14:paraId="232C59FE"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9.12</w:t>
            </w:r>
          </w:p>
        </w:tc>
        <w:tc>
          <w:tcPr>
            <w:tcW w:w="820" w:type="dxa"/>
            <w:shd w:val="clear" w:color="auto" w:fill="auto"/>
            <w:vAlign w:val="center"/>
            <w:hideMark/>
          </w:tcPr>
          <w:p w14:paraId="77853358"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5.37</w:t>
            </w:r>
          </w:p>
        </w:tc>
        <w:tc>
          <w:tcPr>
            <w:tcW w:w="821" w:type="dxa"/>
            <w:shd w:val="clear" w:color="auto" w:fill="auto"/>
            <w:vAlign w:val="bottom"/>
          </w:tcPr>
          <w:p w14:paraId="4C0FC183"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vAlign w:val="bottom"/>
          </w:tcPr>
          <w:p w14:paraId="137F92E3"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vAlign w:val="bottom"/>
          </w:tcPr>
          <w:p w14:paraId="2032CF35"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48245F5F" w14:textId="77777777" w:rsidTr="00C92EDD">
        <w:trPr>
          <w:trHeight w:val="319"/>
        </w:trPr>
        <w:tc>
          <w:tcPr>
            <w:tcW w:w="2326" w:type="dxa"/>
            <w:shd w:val="clear" w:color="auto" w:fill="auto"/>
            <w:vAlign w:val="center"/>
          </w:tcPr>
          <w:p w14:paraId="3D5BF6BF" w14:textId="377B7E19"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ES </w:t>
            </w:r>
            <w:r w:rsidRPr="004A782C">
              <w:rPr>
                <w:rFonts w:eastAsia="Times New Roman"/>
                <w:color w:val="000000"/>
                <w:lang w:bidi="ne-NP"/>
              </w:rPr>
              <w:t>Factor</w:t>
            </w:r>
          </w:p>
        </w:tc>
        <w:tc>
          <w:tcPr>
            <w:tcW w:w="2184" w:type="dxa"/>
            <w:shd w:val="clear" w:color="auto" w:fill="auto"/>
            <w:noWrap/>
            <w:vAlign w:val="center"/>
          </w:tcPr>
          <w:p w14:paraId="0C15C133" w14:textId="16B880F3"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do not knows PMHP</w:t>
            </w:r>
          </w:p>
        </w:tc>
        <w:tc>
          <w:tcPr>
            <w:tcW w:w="821" w:type="dxa"/>
            <w:shd w:val="clear" w:color="auto" w:fill="auto"/>
            <w:vAlign w:val="center"/>
          </w:tcPr>
          <w:p w14:paraId="39A183C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8.11</w:t>
            </w:r>
          </w:p>
        </w:tc>
        <w:tc>
          <w:tcPr>
            <w:tcW w:w="820" w:type="dxa"/>
            <w:shd w:val="clear" w:color="auto" w:fill="auto"/>
            <w:vAlign w:val="center"/>
          </w:tcPr>
          <w:p w14:paraId="0448BF9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6.83</w:t>
            </w:r>
          </w:p>
        </w:tc>
        <w:tc>
          <w:tcPr>
            <w:tcW w:w="821" w:type="dxa"/>
            <w:shd w:val="clear" w:color="auto" w:fill="auto"/>
            <w:vAlign w:val="center"/>
          </w:tcPr>
          <w:p w14:paraId="75E9A41E"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-0.99</w:t>
            </w:r>
          </w:p>
        </w:tc>
        <w:tc>
          <w:tcPr>
            <w:tcW w:w="957" w:type="dxa"/>
            <w:shd w:val="clear" w:color="auto" w:fill="auto"/>
            <w:vAlign w:val="center"/>
          </w:tcPr>
          <w:p w14:paraId="1F4A0491"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150.72</w:t>
            </w:r>
          </w:p>
        </w:tc>
        <w:tc>
          <w:tcPr>
            <w:tcW w:w="836" w:type="dxa"/>
            <w:shd w:val="clear" w:color="auto" w:fill="auto"/>
            <w:vAlign w:val="center"/>
          </w:tcPr>
          <w:p w14:paraId="759DF747"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0.324</w:t>
            </w:r>
          </w:p>
        </w:tc>
      </w:tr>
      <w:tr w:rsidR="00C92EDD" w:rsidRPr="004A782C" w14:paraId="5E8927C8" w14:textId="77777777" w:rsidTr="00C92EDD">
        <w:trPr>
          <w:trHeight w:val="319"/>
        </w:trPr>
        <w:tc>
          <w:tcPr>
            <w:tcW w:w="2326" w:type="dxa"/>
            <w:shd w:val="clear" w:color="auto" w:fill="auto"/>
            <w:vAlign w:val="center"/>
            <w:hideMark/>
          </w:tcPr>
          <w:p w14:paraId="366B8DAA"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noWrap/>
            <w:vAlign w:val="center"/>
            <w:hideMark/>
          </w:tcPr>
          <w:p w14:paraId="5726778A" w14:textId="54949C4F"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knows PMHP</w:t>
            </w:r>
          </w:p>
        </w:tc>
        <w:tc>
          <w:tcPr>
            <w:tcW w:w="821" w:type="dxa"/>
            <w:shd w:val="clear" w:color="auto" w:fill="auto"/>
            <w:vAlign w:val="center"/>
            <w:hideMark/>
          </w:tcPr>
          <w:p w14:paraId="79C4DF97"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9.00</w:t>
            </w:r>
          </w:p>
        </w:tc>
        <w:tc>
          <w:tcPr>
            <w:tcW w:w="820" w:type="dxa"/>
            <w:shd w:val="clear" w:color="auto" w:fill="auto"/>
            <w:vAlign w:val="center"/>
            <w:hideMark/>
          </w:tcPr>
          <w:p w14:paraId="10C2AAB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7.15</w:t>
            </w:r>
          </w:p>
        </w:tc>
        <w:tc>
          <w:tcPr>
            <w:tcW w:w="821" w:type="dxa"/>
            <w:shd w:val="clear" w:color="auto" w:fill="auto"/>
            <w:vAlign w:val="bottom"/>
          </w:tcPr>
          <w:p w14:paraId="171C799D"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vAlign w:val="bottom"/>
          </w:tcPr>
          <w:p w14:paraId="3A723FEC"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vAlign w:val="bottom"/>
          </w:tcPr>
          <w:p w14:paraId="4C0B09F0"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22E81C48" w14:textId="77777777" w:rsidTr="00C92EDD">
        <w:trPr>
          <w:trHeight w:val="319"/>
        </w:trPr>
        <w:tc>
          <w:tcPr>
            <w:tcW w:w="2326" w:type="dxa"/>
            <w:shd w:val="clear" w:color="auto" w:fill="auto"/>
            <w:vAlign w:val="center"/>
          </w:tcPr>
          <w:p w14:paraId="4EC81D90" w14:textId="2586CC9D"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IS </w:t>
            </w:r>
            <w:r w:rsidRPr="004A782C">
              <w:rPr>
                <w:rFonts w:eastAsia="Times New Roman"/>
                <w:color w:val="000000"/>
                <w:lang w:bidi="ne-NP"/>
              </w:rPr>
              <w:t>Factor</w:t>
            </w:r>
          </w:p>
        </w:tc>
        <w:tc>
          <w:tcPr>
            <w:tcW w:w="2184" w:type="dxa"/>
            <w:shd w:val="clear" w:color="auto" w:fill="auto"/>
            <w:noWrap/>
            <w:vAlign w:val="center"/>
          </w:tcPr>
          <w:p w14:paraId="6E230B74" w14:textId="3CA46402"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do not knows PMHP</w:t>
            </w:r>
          </w:p>
        </w:tc>
        <w:tc>
          <w:tcPr>
            <w:tcW w:w="821" w:type="dxa"/>
            <w:shd w:val="clear" w:color="auto" w:fill="auto"/>
            <w:vAlign w:val="center"/>
          </w:tcPr>
          <w:p w14:paraId="517B61C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3.94</w:t>
            </w:r>
          </w:p>
        </w:tc>
        <w:tc>
          <w:tcPr>
            <w:tcW w:w="820" w:type="dxa"/>
            <w:shd w:val="clear" w:color="auto" w:fill="auto"/>
            <w:vAlign w:val="center"/>
          </w:tcPr>
          <w:p w14:paraId="05637DF2"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3.88</w:t>
            </w:r>
          </w:p>
        </w:tc>
        <w:tc>
          <w:tcPr>
            <w:tcW w:w="821" w:type="dxa"/>
            <w:shd w:val="clear" w:color="auto" w:fill="auto"/>
            <w:vAlign w:val="center"/>
          </w:tcPr>
          <w:p w14:paraId="54E34E2E"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1.06</w:t>
            </w:r>
          </w:p>
        </w:tc>
        <w:tc>
          <w:tcPr>
            <w:tcW w:w="957" w:type="dxa"/>
            <w:shd w:val="clear" w:color="auto" w:fill="auto"/>
            <w:vAlign w:val="center"/>
          </w:tcPr>
          <w:p w14:paraId="2F3B2D6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173.60</w:t>
            </w:r>
          </w:p>
        </w:tc>
        <w:tc>
          <w:tcPr>
            <w:tcW w:w="836" w:type="dxa"/>
            <w:shd w:val="clear" w:color="auto" w:fill="auto"/>
            <w:vAlign w:val="center"/>
          </w:tcPr>
          <w:p w14:paraId="0C4A8BF6"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0.293</w:t>
            </w:r>
          </w:p>
        </w:tc>
      </w:tr>
      <w:tr w:rsidR="00C92EDD" w:rsidRPr="004A782C" w14:paraId="25AFFDB6" w14:textId="77777777" w:rsidTr="00C92EDD">
        <w:trPr>
          <w:trHeight w:val="319"/>
        </w:trPr>
        <w:tc>
          <w:tcPr>
            <w:tcW w:w="2326" w:type="dxa"/>
            <w:shd w:val="clear" w:color="auto" w:fill="auto"/>
            <w:vAlign w:val="center"/>
            <w:hideMark/>
          </w:tcPr>
          <w:p w14:paraId="3D91CDAC"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noWrap/>
            <w:vAlign w:val="center"/>
            <w:hideMark/>
          </w:tcPr>
          <w:p w14:paraId="1D8C1F52" w14:textId="7B87A66B"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knows PMHP</w:t>
            </w:r>
          </w:p>
        </w:tc>
        <w:tc>
          <w:tcPr>
            <w:tcW w:w="821" w:type="dxa"/>
            <w:shd w:val="clear" w:color="auto" w:fill="auto"/>
            <w:vAlign w:val="center"/>
            <w:hideMark/>
          </w:tcPr>
          <w:p w14:paraId="239A4C7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3.45</w:t>
            </w:r>
          </w:p>
        </w:tc>
        <w:tc>
          <w:tcPr>
            <w:tcW w:w="820" w:type="dxa"/>
            <w:shd w:val="clear" w:color="auto" w:fill="auto"/>
            <w:vAlign w:val="center"/>
            <w:hideMark/>
          </w:tcPr>
          <w:p w14:paraId="7174CD4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3.49</w:t>
            </w:r>
          </w:p>
        </w:tc>
        <w:tc>
          <w:tcPr>
            <w:tcW w:w="821" w:type="dxa"/>
            <w:shd w:val="clear" w:color="auto" w:fill="auto"/>
            <w:vAlign w:val="bottom"/>
          </w:tcPr>
          <w:p w14:paraId="28F4A272"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vAlign w:val="bottom"/>
          </w:tcPr>
          <w:p w14:paraId="4C08ADFB"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vAlign w:val="bottom"/>
          </w:tcPr>
          <w:p w14:paraId="0407435D"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64423E2A" w14:textId="77777777" w:rsidTr="00C92EDD">
        <w:trPr>
          <w:trHeight w:val="319"/>
        </w:trPr>
        <w:tc>
          <w:tcPr>
            <w:tcW w:w="2326" w:type="dxa"/>
            <w:shd w:val="clear" w:color="auto" w:fill="auto"/>
            <w:vAlign w:val="center"/>
            <w:hideMark/>
          </w:tcPr>
          <w:p w14:paraId="6BA4E80F" w14:textId="0B45C400"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RS1 </w:t>
            </w:r>
            <w:r w:rsidRPr="004A782C">
              <w:rPr>
                <w:rFonts w:eastAsia="Times New Roman"/>
                <w:color w:val="000000"/>
                <w:lang w:bidi="ne-NP"/>
              </w:rPr>
              <w:t>Factor</w:t>
            </w:r>
          </w:p>
        </w:tc>
        <w:tc>
          <w:tcPr>
            <w:tcW w:w="2184" w:type="dxa"/>
            <w:shd w:val="clear" w:color="auto" w:fill="auto"/>
            <w:noWrap/>
            <w:vAlign w:val="center"/>
            <w:hideMark/>
          </w:tcPr>
          <w:p w14:paraId="30678973" w14:textId="09C39FD1"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do not knows PMHP</w:t>
            </w:r>
          </w:p>
        </w:tc>
        <w:tc>
          <w:tcPr>
            <w:tcW w:w="821" w:type="dxa"/>
            <w:shd w:val="clear" w:color="auto" w:fill="auto"/>
            <w:vAlign w:val="center"/>
            <w:hideMark/>
          </w:tcPr>
          <w:p w14:paraId="0F10E05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7.82</w:t>
            </w:r>
          </w:p>
        </w:tc>
        <w:tc>
          <w:tcPr>
            <w:tcW w:w="820" w:type="dxa"/>
            <w:shd w:val="clear" w:color="auto" w:fill="auto"/>
            <w:vAlign w:val="center"/>
            <w:hideMark/>
          </w:tcPr>
          <w:p w14:paraId="157A273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5.35</w:t>
            </w:r>
          </w:p>
        </w:tc>
        <w:tc>
          <w:tcPr>
            <w:tcW w:w="821" w:type="dxa"/>
            <w:shd w:val="clear" w:color="auto" w:fill="auto"/>
            <w:vAlign w:val="center"/>
            <w:hideMark/>
          </w:tcPr>
          <w:p w14:paraId="0A40489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-0.36</w:t>
            </w:r>
          </w:p>
        </w:tc>
        <w:tc>
          <w:tcPr>
            <w:tcW w:w="957" w:type="dxa"/>
            <w:shd w:val="clear" w:color="auto" w:fill="auto"/>
            <w:vAlign w:val="center"/>
            <w:hideMark/>
          </w:tcPr>
          <w:p w14:paraId="5F2EC018"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156.08</w:t>
            </w:r>
          </w:p>
        </w:tc>
        <w:tc>
          <w:tcPr>
            <w:tcW w:w="836" w:type="dxa"/>
            <w:shd w:val="clear" w:color="auto" w:fill="auto"/>
            <w:vAlign w:val="center"/>
            <w:hideMark/>
          </w:tcPr>
          <w:p w14:paraId="1F8C4BB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0.719</w:t>
            </w:r>
          </w:p>
        </w:tc>
      </w:tr>
      <w:tr w:rsidR="00C92EDD" w:rsidRPr="004A782C" w14:paraId="5917AC62" w14:textId="77777777" w:rsidTr="00C92EDD">
        <w:trPr>
          <w:trHeight w:val="319"/>
        </w:trPr>
        <w:tc>
          <w:tcPr>
            <w:tcW w:w="2326" w:type="dxa"/>
            <w:shd w:val="clear" w:color="auto" w:fill="auto"/>
            <w:vAlign w:val="center"/>
            <w:hideMark/>
          </w:tcPr>
          <w:p w14:paraId="5C57CD6A"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noWrap/>
            <w:vAlign w:val="center"/>
            <w:hideMark/>
          </w:tcPr>
          <w:p w14:paraId="2F703486" w14:textId="3AC489BD"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knows PMHP</w:t>
            </w:r>
          </w:p>
        </w:tc>
        <w:tc>
          <w:tcPr>
            <w:tcW w:w="821" w:type="dxa"/>
            <w:shd w:val="clear" w:color="auto" w:fill="auto"/>
            <w:vAlign w:val="center"/>
            <w:hideMark/>
          </w:tcPr>
          <w:p w14:paraId="7E9BCA6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8.07</w:t>
            </w:r>
          </w:p>
        </w:tc>
        <w:tc>
          <w:tcPr>
            <w:tcW w:w="820" w:type="dxa"/>
            <w:shd w:val="clear" w:color="auto" w:fill="auto"/>
            <w:vAlign w:val="center"/>
            <w:hideMark/>
          </w:tcPr>
          <w:p w14:paraId="39B197F5"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5.38</w:t>
            </w:r>
          </w:p>
        </w:tc>
        <w:tc>
          <w:tcPr>
            <w:tcW w:w="821" w:type="dxa"/>
            <w:shd w:val="clear" w:color="auto" w:fill="auto"/>
            <w:vAlign w:val="bottom"/>
          </w:tcPr>
          <w:p w14:paraId="6D1F5C41"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vAlign w:val="bottom"/>
          </w:tcPr>
          <w:p w14:paraId="67232A0A"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vAlign w:val="bottom"/>
          </w:tcPr>
          <w:p w14:paraId="4B10A85C"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032A7888" w14:textId="77777777" w:rsidTr="00C92EDD">
        <w:trPr>
          <w:trHeight w:val="319"/>
        </w:trPr>
        <w:tc>
          <w:tcPr>
            <w:tcW w:w="2326" w:type="dxa"/>
            <w:shd w:val="clear" w:color="auto" w:fill="auto"/>
            <w:vAlign w:val="center"/>
          </w:tcPr>
          <w:p w14:paraId="7C3D1912" w14:textId="6B07EB20"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RS2 </w:t>
            </w:r>
            <w:r w:rsidRPr="004A782C">
              <w:rPr>
                <w:rFonts w:eastAsia="Times New Roman"/>
                <w:color w:val="000000"/>
                <w:lang w:bidi="ne-NP"/>
              </w:rPr>
              <w:t>Factor</w:t>
            </w:r>
          </w:p>
        </w:tc>
        <w:tc>
          <w:tcPr>
            <w:tcW w:w="2184" w:type="dxa"/>
            <w:shd w:val="clear" w:color="auto" w:fill="auto"/>
            <w:noWrap/>
            <w:vAlign w:val="center"/>
          </w:tcPr>
          <w:p w14:paraId="4EF7AFD7" w14:textId="5E98063D"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do not knows PMHP</w:t>
            </w:r>
          </w:p>
        </w:tc>
        <w:tc>
          <w:tcPr>
            <w:tcW w:w="821" w:type="dxa"/>
            <w:shd w:val="clear" w:color="auto" w:fill="auto"/>
            <w:vAlign w:val="center"/>
          </w:tcPr>
          <w:p w14:paraId="0F219EF4"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5.81</w:t>
            </w:r>
          </w:p>
        </w:tc>
        <w:tc>
          <w:tcPr>
            <w:tcW w:w="820" w:type="dxa"/>
            <w:shd w:val="clear" w:color="auto" w:fill="auto"/>
            <w:vAlign w:val="center"/>
          </w:tcPr>
          <w:p w14:paraId="17DBB3E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4.55</w:t>
            </w:r>
          </w:p>
        </w:tc>
        <w:tc>
          <w:tcPr>
            <w:tcW w:w="821" w:type="dxa"/>
            <w:shd w:val="clear" w:color="auto" w:fill="auto"/>
            <w:vAlign w:val="center"/>
          </w:tcPr>
          <w:p w14:paraId="6292A1A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1.42</w:t>
            </w:r>
          </w:p>
        </w:tc>
        <w:tc>
          <w:tcPr>
            <w:tcW w:w="957" w:type="dxa"/>
            <w:shd w:val="clear" w:color="auto" w:fill="auto"/>
            <w:vAlign w:val="center"/>
          </w:tcPr>
          <w:p w14:paraId="2E4F741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155.71</w:t>
            </w:r>
          </w:p>
        </w:tc>
        <w:tc>
          <w:tcPr>
            <w:tcW w:w="836" w:type="dxa"/>
            <w:shd w:val="clear" w:color="auto" w:fill="auto"/>
            <w:vAlign w:val="center"/>
          </w:tcPr>
          <w:p w14:paraId="392608C0"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0.157</w:t>
            </w:r>
          </w:p>
        </w:tc>
      </w:tr>
      <w:tr w:rsidR="00C92EDD" w:rsidRPr="004A782C" w14:paraId="6C65212C" w14:textId="77777777" w:rsidTr="00C92EDD">
        <w:trPr>
          <w:trHeight w:val="319"/>
        </w:trPr>
        <w:tc>
          <w:tcPr>
            <w:tcW w:w="2326" w:type="dxa"/>
            <w:shd w:val="clear" w:color="auto" w:fill="auto"/>
            <w:vAlign w:val="center"/>
            <w:hideMark/>
          </w:tcPr>
          <w:p w14:paraId="0F5EB786"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noWrap/>
            <w:vAlign w:val="center"/>
            <w:hideMark/>
          </w:tcPr>
          <w:p w14:paraId="3FB35969" w14:textId="335D5898"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knows PMHP</w:t>
            </w:r>
          </w:p>
        </w:tc>
        <w:tc>
          <w:tcPr>
            <w:tcW w:w="821" w:type="dxa"/>
            <w:shd w:val="clear" w:color="auto" w:fill="auto"/>
            <w:vAlign w:val="center"/>
            <w:hideMark/>
          </w:tcPr>
          <w:p w14:paraId="5E79F7CB"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4.98</w:t>
            </w:r>
          </w:p>
        </w:tc>
        <w:tc>
          <w:tcPr>
            <w:tcW w:w="820" w:type="dxa"/>
            <w:shd w:val="clear" w:color="auto" w:fill="auto"/>
            <w:vAlign w:val="center"/>
            <w:hideMark/>
          </w:tcPr>
          <w:p w14:paraId="0824211C"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4.59</w:t>
            </w:r>
          </w:p>
        </w:tc>
        <w:tc>
          <w:tcPr>
            <w:tcW w:w="821" w:type="dxa"/>
            <w:shd w:val="clear" w:color="auto" w:fill="auto"/>
            <w:vAlign w:val="bottom"/>
          </w:tcPr>
          <w:p w14:paraId="6D16D409"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vAlign w:val="bottom"/>
          </w:tcPr>
          <w:p w14:paraId="1FD14533"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vAlign w:val="bottom"/>
          </w:tcPr>
          <w:p w14:paraId="3A58669B" w14:textId="77777777" w:rsidR="00C92EDD" w:rsidRPr="004A782C" w:rsidRDefault="00C92EDD" w:rsidP="00B27EBA">
            <w:pPr>
              <w:spacing w:after="0"/>
              <w:contextualSpacing/>
              <w:jc w:val="both"/>
              <w:rPr>
                <w:rFonts w:eastAsia="Times New Roman"/>
                <w:color w:val="000000" w:themeColor="text1"/>
                <w:lang w:bidi="ne-NP"/>
              </w:rPr>
            </w:pPr>
          </w:p>
        </w:tc>
      </w:tr>
      <w:tr w:rsidR="00C92EDD" w:rsidRPr="004A782C" w14:paraId="6E6EA602" w14:textId="77777777" w:rsidTr="00C92EDD">
        <w:trPr>
          <w:trHeight w:val="319"/>
        </w:trPr>
        <w:tc>
          <w:tcPr>
            <w:tcW w:w="2326" w:type="dxa"/>
            <w:shd w:val="clear" w:color="auto" w:fill="auto"/>
            <w:vAlign w:val="center"/>
          </w:tcPr>
          <w:p w14:paraId="7EB67F27" w14:textId="48A1B99C" w:rsidR="00C92EDD" w:rsidRPr="004A782C" w:rsidRDefault="00C92EDD" w:rsidP="00B27EBA">
            <w:pPr>
              <w:spacing w:after="0"/>
              <w:contextualSpacing/>
              <w:jc w:val="both"/>
              <w:rPr>
                <w:rFonts w:eastAsia="Times New Roman"/>
                <w:color w:val="000000" w:themeColor="text1"/>
                <w:lang w:bidi="ne-NP"/>
              </w:rPr>
            </w:pPr>
            <w:r w:rsidRPr="004A782C">
              <w:rPr>
                <w:rFonts w:eastAsia="Times New Roman"/>
                <w:color w:val="000000" w:themeColor="text1"/>
                <w:lang w:bidi="ne-NP"/>
              </w:rPr>
              <w:t xml:space="preserve">ATMHP Total </w:t>
            </w:r>
          </w:p>
        </w:tc>
        <w:tc>
          <w:tcPr>
            <w:tcW w:w="2184" w:type="dxa"/>
            <w:shd w:val="clear" w:color="auto" w:fill="auto"/>
            <w:noWrap/>
            <w:vAlign w:val="center"/>
          </w:tcPr>
          <w:p w14:paraId="3A390A35" w14:textId="7FC6E3DE"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do not knows PMHP</w:t>
            </w:r>
          </w:p>
        </w:tc>
        <w:tc>
          <w:tcPr>
            <w:tcW w:w="821" w:type="dxa"/>
            <w:shd w:val="clear" w:color="auto" w:fill="auto"/>
            <w:vAlign w:val="center"/>
          </w:tcPr>
          <w:p w14:paraId="394963A7"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34.65</w:t>
            </w:r>
          </w:p>
        </w:tc>
        <w:tc>
          <w:tcPr>
            <w:tcW w:w="820" w:type="dxa"/>
            <w:shd w:val="clear" w:color="auto" w:fill="auto"/>
            <w:vAlign w:val="center"/>
          </w:tcPr>
          <w:p w14:paraId="4F80D3A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19.65</w:t>
            </w:r>
          </w:p>
        </w:tc>
        <w:tc>
          <w:tcPr>
            <w:tcW w:w="821" w:type="dxa"/>
            <w:shd w:val="clear" w:color="auto" w:fill="auto"/>
            <w:vAlign w:val="center"/>
          </w:tcPr>
          <w:p w14:paraId="1C45CE7F"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0.01</w:t>
            </w:r>
          </w:p>
        </w:tc>
        <w:tc>
          <w:tcPr>
            <w:tcW w:w="957" w:type="dxa"/>
            <w:shd w:val="clear" w:color="auto" w:fill="auto"/>
            <w:vAlign w:val="center"/>
          </w:tcPr>
          <w:p w14:paraId="3D0FA385"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153.84</w:t>
            </w:r>
          </w:p>
        </w:tc>
        <w:tc>
          <w:tcPr>
            <w:tcW w:w="836" w:type="dxa"/>
            <w:shd w:val="clear" w:color="auto" w:fill="auto"/>
            <w:vAlign w:val="center"/>
          </w:tcPr>
          <w:p w14:paraId="1C0106C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0.99</w:t>
            </w:r>
          </w:p>
        </w:tc>
      </w:tr>
      <w:tr w:rsidR="00C92EDD" w:rsidRPr="004A782C" w14:paraId="737AE3DA" w14:textId="77777777" w:rsidTr="00C92EDD">
        <w:trPr>
          <w:trHeight w:val="319"/>
        </w:trPr>
        <w:tc>
          <w:tcPr>
            <w:tcW w:w="2326" w:type="dxa"/>
            <w:shd w:val="clear" w:color="auto" w:fill="auto"/>
            <w:vAlign w:val="center"/>
            <w:hideMark/>
          </w:tcPr>
          <w:p w14:paraId="25E39C21" w14:textId="77777777" w:rsidR="00C92EDD" w:rsidRPr="004A782C" w:rsidRDefault="00C92EDD" w:rsidP="00B27EBA">
            <w:pPr>
              <w:spacing w:after="0"/>
              <w:contextualSpacing/>
              <w:jc w:val="both"/>
              <w:rPr>
                <w:rFonts w:eastAsia="Times New Roman"/>
                <w:color w:val="000000" w:themeColor="text1"/>
                <w:lang w:bidi="ne-NP"/>
              </w:rPr>
            </w:pPr>
          </w:p>
        </w:tc>
        <w:tc>
          <w:tcPr>
            <w:tcW w:w="2184" w:type="dxa"/>
            <w:shd w:val="clear" w:color="auto" w:fill="auto"/>
            <w:noWrap/>
            <w:vAlign w:val="center"/>
            <w:hideMark/>
          </w:tcPr>
          <w:p w14:paraId="27E96C24" w14:textId="5FAB0251" w:rsidR="00C92EDD" w:rsidRPr="004A782C" w:rsidRDefault="00C92EDD" w:rsidP="00B27EBA">
            <w:pPr>
              <w:spacing w:after="0"/>
              <w:contextualSpacing/>
              <w:jc w:val="both"/>
              <w:rPr>
                <w:rFonts w:eastAsia="Times New Roman"/>
                <w:color w:val="000000" w:themeColor="text1"/>
                <w:lang w:bidi="ne-NP"/>
              </w:rPr>
            </w:pPr>
            <w:r w:rsidRPr="004A782C">
              <w:rPr>
                <w:lang w:bidi="ne-NP"/>
              </w:rPr>
              <w:t>Participants who knows PMHP</w:t>
            </w:r>
          </w:p>
        </w:tc>
        <w:tc>
          <w:tcPr>
            <w:tcW w:w="821" w:type="dxa"/>
            <w:shd w:val="clear" w:color="auto" w:fill="auto"/>
            <w:vAlign w:val="center"/>
            <w:hideMark/>
          </w:tcPr>
          <w:p w14:paraId="40E665DD"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34.62</w:t>
            </w:r>
          </w:p>
        </w:tc>
        <w:tc>
          <w:tcPr>
            <w:tcW w:w="820" w:type="dxa"/>
            <w:shd w:val="clear" w:color="auto" w:fill="auto"/>
            <w:vAlign w:val="center"/>
            <w:hideMark/>
          </w:tcPr>
          <w:p w14:paraId="61DE9F62" w14:textId="77777777" w:rsidR="00C92EDD" w:rsidRPr="004A782C" w:rsidRDefault="00C92EDD" w:rsidP="00B27EBA">
            <w:pPr>
              <w:spacing w:after="0"/>
              <w:contextualSpacing/>
              <w:jc w:val="both"/>
              <w:rPr>
                <w:rFonts w:eastAsia="Times New Roman"/>
                <w:color w:val="000000" w:themeColor="text1"/>
                <w:lang w:bidi="ne-NP"/>
              </w:rPr>
            </w:pPr>
            <w:r w:rsidRPr="004A782C">
              <w:rPr>
                <w:color w:val="000000"/>
              </w:rPr>
              <w:t>20.09</w:t>
            </w:r>
          </w:p>
        </w:tc>
        <w:tc>
          <w:tcPr>
            <w:tcW w:w="821" w:type="dxa"/>
            <w:shd w:val="clear" w:color="auto" w:fill="auto"/>
            <w:vAlign w:val="bottom"/>
          </w:tcPr>
          <w:p w14:paraId="3495531C" w14:textId="77777777" w:rsidR="00C92EDD" w:rsidRPr="004A782C" w:rsidRDefault="00C92EDD" w:rsidP="00B27EBA">
            <w:pPr>
              <w:spacing w:after="0"/>
              <w:contextualSpacing/>
              <w:jc w:val="both"/>
              <w:rPr>
                <w:rFonts w:eastAsia="Times New Roman"/>
                <w:color w:val="000000" w:themeColor="text1"/>
                <w:lang w:bidi="ne-NP"/>
              </w:rPr>
            </w:pPr>
          </w:p>
        </w:tc>
        <w:tc>
          <w:tcPr>
            <w:tcW w:w="957" w:type="dxa"/>
            <w:shd w:val="clear" w:color="auto" w:fill="auto"/>
            <w:vAlign w:val="bottom"/>
          </w:tcPr>
          <w:p w14:paraId="5FA23136" w14:textId="77777777" w:rsidR="00C92EDD" w:rsidRPr="004A782C" w:rsidRDefault="00C92EDD" w:rsidP="00B27EBA">
            <w:pPr>
              <w:spacing w:after="0"/>
              <w:contextualSpacing/>
              <w:jc w:val="both"/>
              <w:rPr>
                <w:rFonts w:eastAsia="Times New Roman"/>
                <w:color w:val="000000" w:themeColor="text1"/>
                <w:lang w:bidi="ne-NP"/>
              </w:rPr>
            </w:pPr>
          </w:p>
        </w:tc>
        <w:tc>
          <w:tcPr>
            <w:tcW w:w="836" w:type="dxa"/>
            <w:shd w:val="clear" w:color="auto" w:fill="auto"/>
            <w:vAlign w:val="bottom"/>
          </w:tcPr>
          <w:p w14:paraId="6C46CEDD" w14:textId="77777777" w:rsidR="00C92EDD" w:rsidRPr="004A782C" w:rsidRDefault="00C92EDD" w:rsidP="00B27EBA">
            <w:pPr>
              <w:spacing w:after="0"/>
              <w:contextualSpacing/>
              <w:jc w:val="both"/>
              <w:rPr>
                <w:rFonts w:eastAsia="Times New Roman"/>
                <w:color w:val="000000" w:themeColor="text1"/>
                <w:lang w:bidi="ne-NP"/>
              </w:rPr>
            </w:pPr>
          </w:p>
        </w:tc>
      </w:tr>
    </w:tbl>
    <w:p w14:paraId="20041D5E" w14:textId="78D41F61" w:rsidR="00323E11" w:rsidRPr="004A782C" w:rsidRDefault="00C64C95" w:rsidP="00B27EBA">
      <w:pPr>
        <w:spacing w:after="0"/>
        <w:contextualSpacing/>
        <w:jc w:val="both"/>
        <w:rPr>
          <w:rFonts w:eastAsia="Times New Roman"/>
          <w:bCs/>
          <w:color w:val="000000" w:themeColor="text1"/>
          <w:lang w:bidi="ne-NP"/>
        </w:rPr>
      </w:pPr>
      <w:r w:rsidRPr="004A782C">
        <w:rPr>
          <w:rFonts w:eastAsia="Times New Roman"/>
          <w:bCs/>
          <w:i/>
          <w:iCs/>
          <w:color w:val="000000" w:themeColor="text1"/>
          <w:lang w:bidi="ne-NP"/>
        </w:rPr>
        <w:t>Note</w:t>
      </w:r>
      <w:r w:rsidR="00323E11" w:rsidRPr="004A782C">
        <w:rPr>
          <w:rFonts w:eastAsia="Times New Roman"/>
          <w:bCs/>
          <w:color w:val="000000" w:themeColor="text1"/>
          <w:lang w:bidi="ne-NP"/>
        </w:rPr>
        <w:t xml:space="preserve">: ATMHP: </w:t>
      </w:r>
      <w:r w:rsidRPr="004A782C">
        <w:rPr>
          <w:rFonts w:eastAsia="Times New Roman"/>
          <w:bCs/>
          <w:color w:val="000000" w:themeColor="text1"/>
          <w:lang w:bidi="ne-NP"/>
        </w:rPr>
        <w:t>attitudes towards ment</w:t>
      </w:r>
      <w:r w:rsidR="00323E11" w:rsidRPr="004A782C">
        <w:rPr>
          <w:rFonts w:eastAsia="Times New Roman"/>
          <w:bCs/>
          <w:color w:val="000000" w:themeColor="text1"/>
          <w:lang w:bidi="ne-NP"/>
        </w:rPr>
        <w:t xml:space="preserve">al health problems; ES: </w:t>
      </w:r>
      <w:r w:rsidRPr="004A782C">
        <w:rPr>
          <w:rFonts w:eastAsia="Times New Roman"/>
          <w:bCs/>
          <w:color w:val="000000" w:themeColor="text1"/>
          <w:lang w:bidi="ne-NP"/>
        </w:rPr>
        <w:t>ext</w:t>
      </w:r>
      <w:r w:rsidR="00323E11" w:rsidRPr="004A782C">
        <w:rPr>
          <w:rFonts w:eastAsia="Times New Roman"/>
          <w:bCs/>
          <w:color w:val="000000" w:themeColor="text1"/>
          <w:lang w:bidi="ne-NP"/>
        </w:rPr>
        <w:t xml:space="preserve">ernal shame; IS: </w:t>
      </w:r>
      <w:r w:rsidRPr="004A782C">
        <w:rPr>
          <w:rFonts w:eastAsia="Times New Roman"/>
          <w:bCs/>
          <w:color w:val="000000" w:themeColor="text1"/>
          <w:lang w:bidi="ne-NP"/>
        </w:rPr>
        <w:t>internal shame,</w:t>
      </w:r>
      <w:r w:rsidR="00323E11" w:rsidRPr="004A782C">
        <w:rPr>
          <w:rFonts w:eastAsia="Times New Roman"/>
          <w:bCs/>
          <w:color w:val="000000" w:themeColor="text1"/>
          <w:lang w:bidi="ne-NP"/>
        </w:rPr>
        <w:t xml:space="preserve"> Reflected Shame 1: shame about how it affects family; Reflected Shame 2: shame about how it affects oneself.</w:t>
      </w:r>
    </w:p>
    <w:p w14:paraId="252683F2" w14:textId="38F38DA8" w:rsidR="003D7084" w:rsidRPr="004A782C" w:rsidRDefault="00180A05" w:rsidP="00B27EBA">
      <w:pPr>
        <w:pStyle w:val="Caption"/>
        <w:keepNext/>
        <w:spacing w:after="0" w:line="276" w:lineRule="auto"/>
        <w:ind w:firstLine="567"/>
        <w:contextualSpacing/>
        <w:jc w:val="both"/>
        <w:rPr>
          <w:rFonts w:eastAsia="Times New Roman"/>
          <w:i w:val="0"/>
          <w:iCs w:val="0"/>
          <w:color w:val="000000" w:themeColor="text1"/>
          <w:sz w:val="24"/>
          <w:szCs w:val="24"/>
        </w:rPr>
      </w:pPr>
      <w:bookmarkStart w:id="14" w:name="_Toc101805793"/>
      <w:bookmarkStart w:id="15" w:name="_Toc109485396"/>
      <w:bookmarkStart w:id="16" w:name="_Toc100257854"/>
      <w:bookmarkStart w:id="17" w:name="_Toc101805972"/>
      <w:bookmarkStart w:id="18" w:name="_Toc106895036"/>
      <w:bookmarkEnd w:id="8"/>
      <w:bookmarkEnd w:id="9"/>
      <w:bookmarkEnd w:id="10"/>
      <w:bookmarkEnd w:id="11"/>
      <w:r w:rsidRPr="004A782C">
        <w:rPr>
          <w:rFonts w:eastAsia="Times New Roman"/>
          <w:i w:val="0"/>
          <w:iCs w:val="0"/>
          <w:color w:val="000000" w:themeColor="text1"/>
          <w:sz w:val="24"/>
          <w:szCs w:val="24"/>
        </w:rPr>
        <w:t>The study discovered unfavorable attitudes towards mental health problems across all ethnic categories</w:t>
      </w:r>
      <w:r w:rsidR="007C38E9" w:rsidRPr="004A782C">
        <w:rPr>
          <w:rFonts w:eastAsia="Times New Roman"/>
          <w:i w:val="0"/>
          <w:iCs w:val="0"/>
          <w:color w:val="000000" w:themeColor="text1"/>
          <w:sz w:val="24"/>
          <w:szCs w:val="24"/>
        </w:rPr>
        <w:t>. I</w:t>
      </w:r>
      <w:r w:rsidR="003D7084" w:rsidRPr="004A782C">
        <w:rPr>
          <w:rFonts w:eastAsia="Times New Roman"/>
          <w:i w:val="0"/>
          <w:iCs w:val="0"/>
          <w:color w:val="000000" w:themeColor="text1"/>
          <w:sz w:val="24"/>
          <w:szCs w:val="24"/>
        </w:rPr>
        <w:t xml:space="preserve"> </w:t>
      </w:r>
      <w:r w:rsidR="0062282A" w:rsidRPr="004A782C">
        <w:rPr>
          <w:rFonts w:eastAsia="Times New Roman"/>
          <w:i w:val="0"/>
          <w:iCs w:val="0"/>
          <w:color w:val="000000" w:themeColor="text1"/>
          <w:sz w:val="24"/>
          <w:szCs w:val="24"/>
        </w:rPr>
        <w:t xml:space="preserve">also </w:t>
      </w:r>
      <w:r w:rsidR="003D7084" w:rsidRPr="004A782C">
        <w:rPr>
          <w:rFonts w:eastAsia="Times New Roman"/>
          <w:i w:val="0"/>
          <w:iCs w:val="0"/>
          <w:color w:val="000000" w:themeColor="text1"/>
          <w:sz w:val="24"/>
          <w:szCs w:val="24"/>
        </w:rPr>
        <w:t>found the differ</w:t>
      </w:r>
      <w:r w:rsidR="00C92EDD" w:rsidRPr="004A782C">
        <w:rPr>
          <w:rFonts w:eastAsia="Times New Roman"/>
          <w:i w:val="0"/>
          <w:iCs w:val="0"/>
          <w:color w:val="000000" w:themeColor="text1"/>
          <w:sz w:val="24"/>
          <w:szCs w:val="24"/>
        </w:rPr>
        <w:t>ence was non-significant in the</w:t>
      </w:r>
      <w:r w:rsidR="003D7084" w:rsidRPr="004A782C">
        <w:rPr>
          <w:rFonts w:eastAsia="Times New Roman"/>
          <w:i w:val="0"/>
          <w:iCs w:val="0"/>
          <w:color w:val="000000" w:themeColor="text1"/>
          <w:sz w:val="24"/>
          <w:szCs w:val="24"/>
        </w:rPr>
        <w:t xml:space="preserve"> ATMHP </w:t>
      </w:r>
      <w:r w:rsidR="00C92EDD" w:rsidRPr="004A782C">
        <w:rPr>
          <w:rFonts w:eastAsia="Times New Roman"/>
          <w:i w:val="0"/>
          <w:iCs w:val="0"/>
          <w:color w:val="000000" w:themeColor="text1"/>
          <w:sz w:val="24"/>
          <w:szCs w:val="24"/>
        </w:rPr>
        <w:t xml:space="preserve">total </w:t>
      </w:r>
      <w:r w:rsidR="003D7084" w:rsidRPr="004A782C">
        <w:rPr>
          <w:rFonts w:eastAsia="Times New Roman"/>
          <w:i w:val="0"/>
          <w:iCs w:val="0"/>
          <w:color w:val="000000" w:themeColor="text1"/>
          <w:sz w:val="24"/>
          <w:szCs w:val="24"/>
        </w:rPr>
        <w:t xml:space="preserve">among </w:t>
      </w:r>
      <w:r w:rsidR="0062282A" w:rsidRPr="004A782C">
        <w:rPr>
          <w:rFonts w:eastAsia="Times New Roman"/>
          <w:i w:val="0"/>
          <w:iCs w:val="0"/>
          <w:color w:val="000000" w:themeColor="text1"/>
          <w:sz w:val="24"/>
          <w:szCs w:val="24"/>
          <w:lang w:bidi="ne-NP"/>
        </w:rPr>
        <w:t xml:space="preserve">all ethnic groups participated in the study. The difference was non-significant in all the dimensions </w:t>
      </w:r>
      <w:r w:rsidR="00D73ABC" w:rsidRPr="004A782C">
        <w:rPr>
          <w:rFonts w:eastAsia="Times New Roman"/>
          <w:i w:val="0"/>
          <w:iCs w:val="0"/>
          <w:color w:val="000000" w:themeColor="text1"/>
          <w:sz w:val="24"/>
          <w:szCs w:val="24"/>
          <w:lang w:bidi="ne-NP"/>
        </w:rPr>
        <w:t>(Table 4</w:t>
      </w:r>
      <w:r w:rsidR="0062282A" w:rsidRPr="004A782C">
        <w:rPr>
          <w:rFonts w:eastAsia="Times New Roman"/>
          <w:i w:val="0"/>
          <w:iCs w:val="0"/>
          <w:color w:val="000000" w:themeColor="text1"/>
          <w:sz w:val="24"/>
          <w:szCs w:val="24"/>
          <w:lang w:bidi="ne-NP"/>
        </w:rPr>
        <w:t>).</w:t>
      </w:r>
      <w:r w:rsidR="004A782C">
        <w:rPr>
          <w:rFonts w:eastAsia="Times New Roman"/>
          <w:i w:val="0"/>
          <w:iCs w:val="0"/>
          <w:color w:val="000000" w:themeColor="text1"/>
          <w:sz w:val="24"/>
          <w:szCs w:val="24"/>
          <w:lang w:bidi="ne-NP"/>
        </w:rPr>
        <w:t xml:space="preserve"> </w:t>
      </w:r>
      <w:bookmarkEnd w:id="14"/>
    </w:p>
    <w:p w14:paraId="304A3975" w14:textId="77777777" w:rsidR="00B27EBA" w:rsidRDefault="00B27EBA" w:rsidP="00B27EBA">
      <w:pPr>
        <w:spacing w:after="0"/>
        <w:contextualSpacing/>
        <w:jc w:val="both"/>
        <w:rPr>
          <w:rFonts w:eastAsia="Times New Roman"/>
          <w:b/>
          <w:color w:val="000000" w:themeColor="text1"/>
          <w:lang w:bidi="ne-NP"/>
        </w:rPr>
      </w:pPr>
    </w:p>
    <w:p w14:paraId="331FD2C2" w14:textId="77777777" w:rsidR="00B27EBA" w:rsidRDefault="00B27EBA" w:rsidP="00B27EBA">
      <w:pPr>
        <w:spacing w:after="0"/>
        <w:contextualSpacing/>
        <w:jc w:val="both"/>
        <w:rPr>
          <w:rFonts w:eastAsia="Times New Roman"/>
          <w:b/>
          <w:color w:val="000000" w:themeColor="text1"/>
          <w:lang w:bidi="ne-NP"/>
        </w:rPr>
      </w:pPr>
    </w:p>
    <w:p w14:paraId="7EAFDDA4" w14:textId="77777777" w:rsidR="00B27EBA" w:rsidRDefault="00B27EBA" w:rsidP="00B27EBA">
      <w:pPr>
        <w:spacing w:after="0"/>
        <w:contextualSpacing/>
        <w:jc w:val="both"/>
        <w:rPr>
          <w:rFonts w:eastAsia="Times New Roman"/>
          <w:b/>
          <w:color w:val="000000" w:themeColor="text1"/>
          <w:lang w:bidi="ne-NP"/>
        </w:rPr>
      </w:pPr>
    </w:p>
    <w:p w14:paraId="3EC68079" w14:textId="77777777" w:rsidR="00B27EBA" w:rsidRDefault="00B27EBA" w:rsidP="00B27EBA">
      <w:pPr>
        <w:spacing w:after="0"/>
        <w:contextualSpacing/>
        <w:jc w:val="both"/>
        <w:rPr>
          <w:rFonts w:eastAsia="Times New Roman"/>
          <w:b/>
          <w:color w:val="000000" w:themeColor="text1"/>
          <w:lang w:bidi="ne-NP"/>
        </w:rPr>
      </w:pPr>
    </w:p>
    <w:p w14:paraId="6414BDC6" w14:textId="77777777" w:rsidR="00B27EBA" w:rsidRDefault="00B27EBA" w:rsidP="00B27EBA">
      <w:pPr>
        <w:spacing w:after="0"/>
        <w:contextualSpacing/>
        <w:jc w:val="both"/>
        <w:rPr>
          <w:rFonts w:eastAsia="Times New Roman"/>
          <w:b/>
          <w:color w:val="000000" w:themeColor="text1"/>
          <w:lang w:bidi="ne-NP"/>
        </w:rPr>
      </w:pPr>
    </w:p>
    <w:p w14:paraId="30DB655A" w14:textId="77777777" w:rsidR="00B27EBA" w:rsidRDefault="00B27EBA" w:rsidP="00B27EBA">
      <w:pPr>
        <w:spacing w:after="0"/>
        <w:contextualSpacing/>
        <w:jc w:val="both"/>
        <w:rPr>
          <w:rFonts w:eastAsia="Times New Roman"/>
          <w:b/>
          <w:color w:val="000000" w:themeColor="text1"/>
          <w:lang w:bidi="ne-NP"/>
        </w:rPr>
      </w:pPr>
    </w:p>
    <w:p w14:paraId="31780A6F" w14:textId="0AC13358" w:rsidR="00C64C95" w:rsidRPr="009D6757" w:rsidRDefault="00D73ABC" w:rsidP="00B27EBA">
      <w:pPr>
        <w:spacing w:after="0"/>
        <w:contextualSpacing/>
        <w:jc w:val="both"/>
        <w:rPr>
          <w:rFonts w:eastAsia="Times New Roman"/>
          <w:bCs/>
          <w:i/>
          <w:iCs/>
          <w:color w:val="000000" w:themeColor="text1"/>
          <w:lang w:bidi="ne-NP"/>
        </w:rPr>
      </w:pPr>
      <w:r w:rsidRPr="004A782C">
        <w:rPr>
          <w:rFonts w:eastAsia="Times New Roman"/>
          <w:b/>
          <w:color w:val="000000" w:themeColor="text1"/>
          <w:lang w:bidi="ne-NP"/>
        </w:rPr>
        <w:lastRenderedPageBreak/>
        <w:t>Table 4</w:t>
      </w:r>
      <w:r w:rsidR="00C64C95" w:rsidRPr="004A782C">
        <w:rPr>
          <w:rFonts w:eastAsia="Times New Roman"/>
          <w:b/>
          <w:color w:val="000000" w:themeColor="text1"/>
          <w:lang w:bidi="ne-NP"/>
        </w:rPr>
        <w:t xml:space="preserve">: </w:t>
      </w:r>
      <w:r w:rsidR="00C64C95" w:rsidRPr="009D6757">
        <w:rPr>
          <w:i/>
          <w:iCs/>
          <w:color w:val="000000" w:themeColor="text1"/>
        </w:rPr>
        <w:t>Descriptive and Inferential Statistics (one-way ANOVA) for different demographic variables</w:t>
      </w:r>
    </w:p>
    <w:tbl>
      <w:tblPr>
        <w:tblStyle w:val="TableGrid"/>
        <w:tblW w:w="891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1274"/>
        <w:gridCol w:w="1274"/>
        <w:gridCol w:w="1157"/>
        <w:gridCol w:w="1056"/>
        <w:gridCol w:w="922"/>
        <w:gridCol w:w="9"/>
        <w:gridCol w:w="1375"/>
      </w:tblGrid>
      <w:tr w:rsidR="00C64C95" w:rsidRPr="004A782C" w14:paraId="5421AA4F" w14:textId="77777777" w:rsidTr="00496B7B">
        <w:trPr>
          <w:trHeight w:val="176"/>
          <w:tblHeader/>
        </w:trPr>
        <w:tc>
          <w:tcPr>
            <w:tcW w:w="1851" w:type="dxa"/>
            <w:vMerge w:val="restart"/>
            <w:tcBorders>
              <w:top w:val="single" w:sz="4" w:space="0" w:color="auto"/>
              <w:bottom w:val="nil"/>
            </w:tcBorders>
            <w:noWrap/>
          </w:tcPr>
          <w:p w14:paraId="653506DC" w14:textId="77777777" w:rsidR="00C64C95" w:rsidRPr="004A782C" w:rsidRDefault="00C64C95" w:rsidP="00B27EBA">
            <w:pPr>
              <w:spacing w:line="276" w:lineRule="auto"/>
              <w:contextualSpacing/>
              <w:jc w:val="both"/>
              <w:rPr>
                <w:color w:val="000000" w:themeColor="text1"/>
              </w:rPr>
            </w:pPr>
            <w:r w:rsidRPr="004A782C">
              <w:rPr>
                <w:color w:val="000000" w:themeColor="text1"/>
              </w:rPr>
              <w:t>Variables</w:t>
            </w:r>
          </w:p>
        </w:tc>
        <w:tc>
          <w:tcPr>
            <w:tcW w:w="1274" w:type="dxa"/>
            <w:vMerge w:val="restart"/>
            <w:tcBorders>
              <w:top w:val="single" w:sz="4" w:space="0" w:color="auto"/>
              <w:bottom w:val="nil"/>
            </w:tcBorders>
            <w:noWrap/>
          </w:tcPr>
          <w:p w14:paraId="3E550B27" w14:textId="77777777" w:rsidR="00C64C95" w:rsidRPr="004A782C" w:rsidRDefault="00C64C95" w:rsidP="00B27EBA">
            <w:pPr>
              <w:spacing w:line="276" w:lineRule="auto"/>
              <w:contextualSpacing/>
              <w:jc w:val="both"/>
              <w:rPr>
                <w:color w:val="000000" w:themeColor="text1"/>
              </w:rPr>
            </w:pPr>
            <w:r w:rsidRPr="004A782C">
              <w:rPr>
                <w:color w:val="000000" w:themeColor="text1"/>
              </w:rPr>
              <w:t>Mean</w:t>
            </w:r>
          </w:p>
        </w:tc>
        <w:tc>
          <w:tcPr>
            <w:tcW w:w="1274" w:type="dxa"/>
            <w:vMerge w:val="restart"/>
            <w:tcBorders>
              <w:top w:val="single" w:sz="4" w:space="0" w:color="auto"/>
              <w:bottom w:val="nil"/>
            </w:tcBorders>
            <w:noWrap/>
          </w:tcPr>
          <w:p w14:paraId="5F9999DA" w14:textId="77777777" w:rsidR="00C64C95" w:rsidRPr="004A782C" w:rsidRDefault="00C64C95" w:rsidP="00B27EBA">
            <w:pPr>
              <w:spacing w:line="276" w:lineRule="auto"/>
              <w:contextualSpacing/>
              <w:jc w:val="both"/>
              <w:rPr>
                <w:i/>
                <w:iCs/>
                <w:color w:val="000000" w:themeColor="text1"/>
              </w:rPr>
            </w:pPr>
            <w:r w:rsidRPr="004A782C">
              <w:rPr>
                <w:i/>
                <w:iCs/>
                <w:color w:val="000000" w:themeColor="text1"/>
              </w:rPr>
              <w:t>SD</w:t>
            </w:r>
          </w:p>
        </w:tc>
        <w:tc>
          <w:tcPr>
            <w:tcW w:w="1157" w:type="dxa"/>
            <w:vMerge w:val="restart"/>
            <w:tcBorders>
              <w:top w:val="single" w:sz="4" w:space="0" w:color="auto"/>
              <w:bottom w:val="nil"/>
            </w:tcBorders>
          </w:tcPr>
          <w:p w14:paraId="22B0335D" w14:textId="77777777" w:rsidR="00C64C95" w:rsidRPr="004A782C" w:rsidRDefault="00C64C95" w:rsidP="00B27EBA">
            <w:pPr>
              <w:spacing w:line="276" w:lineRule="auto"/>
              <w:contextualSpacing/>
              <w:jc w:val="both"/>
              <w:rPr>
                <w:color w:val="000000" w:themeColor="text1"/>
              </w:rPr>
            </w:pPr>
            <w:r w:rsidRPr="004A782C">
              <w:rPr>
                <w:i/>
                <w:iCs/>
                <w:color w:val="000000" w:themeColor="text1"/>
              </w:rPr>
              <w:t>F</w:t>
            </w:r>
          </w:p>
        </w:tc>
        <w:tc>
          <w:tcPr>
            <w:tcW w:w="1978" w:type="dxa"/>
            <w:gridSpan w:val="2"/>
            <w:tcBorders>
              <w:top w:val="single" w:sz="4" w:space="0" w:color="auto"/>
              <w:bottom w:val="nil"/>
            </w:tcBorders>
          </w:tcPr>
          <w:p w14:paraId="5CAF313A" w14:textId="77777777" w:rsidR="00C64C95" w:rsidRPr="004A782C" w:rsidRDefault="00C64C95" w:rsidP="00B27EBA">
            <w:pPr>
              <w:spacing w:line="276" w:lineRule="auto"/>
              <w:contextualSpacing/>
              <w:jc w:val="both"/>
              <w:rPr>
                <w:color w:val="000000" w:themeColor="text1"/>
              </w:rPr>
            </w:pPr>
            <w:r w:rsidRPr="004A782C">
              <w:rPr>
                <w:i/>
                <w:iCs/>
                <w:color w:val="000000" w:themeColor="text1"/>
              </w:rPr>
              <w:t>df</w:t>
            </w:r>
          </w:p>
        </w:tc>
        <w:tc>
          <w:tcPr>
            <w:tcW w:w="1384" w:type="dxa"/>
            <w:gridSpan w:val="2"/>
            <w:tcBorders>
              <w:top w:val="single" w:sz="4" w:space="0" w:color="auto"/>
              <w:bottom w:val="nil"/>
            </w:tcBorders>
          </w:tcPr>
          <w:p w14:paraId="480071FC" w14:textId="0BB87802" w:rsidR="00C64C95" w:rsidRPr="004A782C" w:rsidRDefault="002C004B" w:rsidP="00B27EBA">
            <w:pPr>
              <w:spacing w:line="276" w:lineRule="auto"/>
              <w:contextualSpacing/>
              <w:jc w:val="both"/>
              <w:rPr>
                <w:i/>
                <w:iCs/>
                <w:color w:val="000000" w:themeColor="text1"/>
              </w:rPr>
            </w:pPr>
            <w:r w:rsidRPr="004A782C">
              <w:rPr>
                <w:i/>
                <w:iCs/>
                <w:color w:val="000000" w:themeColor="text1"/>
              </w:rPr>
              <w:t>P</w:t>
            </w:r>
          </w:p>
        </w:tc>
      </w:tr>
      <w:tr w:rsidR="00C64C95" w:rsidRPr="004A782C" w14:paraId="60088EE3" w14:textId="77777777" w:rsidTr="00496B7B">
        <w:trPr>
          <w:trHeight w:val="176"/>
        </w:trPr>
        <w:tc>
          <w:tcPr>
            <w:tcW w:w="1851" w:type="dxa"/>
            <w:vMerge/>
            <w:tcBorders>
              <w:top w:val="nil"/>
              <w:bottom w:val="single" w:sz="4" w:space="0" w:color="auto"/>
            </w:tcBorders>
            <w:noWrap/>
          </w:tcPr>
          <w:p w14:paraId="2A8F89C5" w14:textId="77777777" w:rsidR="00C64C95" w:rsidRPr="004A782C" w:rsidRDefault="00C64C95" w:rsidP="00B27EBA">
            <w:pPr>
              <w:spacing w:line="276" w:lineRule="auto"/>
              <w:contextualSpacing/>
              <w:jc w:val="both"/>
              <w:rPr>
                <w:color w:val="000000" w:themeColor="text1"/>
              </w:rPr>
            </w:pPr>
          </w:p>
        </w:tc>
        <w:tc>
          <w:tcPr>
            <w:tcW w:w="1274" w:type="dxa"/>
            <w:vMerge/>
            <w:tcBorders>
              <w:top w:val="nil"/>
              <w:bottom w:val="single" w:sz="4" w:space="0" w:color="auto"/>
            </w:tcBorders>
            <w:noWrap/>
          </w:tcPr>
          <w:p w14:paraId="5FA501B6" w14:textId="77777777" w:rsidR="00C64C95" w:rsidRPr="004A782C" w:rsidRDefault="00C64C95" w:rsidP="00B27EBA">
            <w:pPr>
              <w:spacing w:line="276" w:lineRule="auto"/>
              <w:contextualSpacing/>
              <w:jc w:val="both"/>
              <w:rPr>
                <w:color w:val="000000" w:themeColor="text1"/>
              </w:rPr>
            </w:pPr>
          </w:p>
        </w:tc>
        <w:tc>
          <w:tcPr>
            <w:tcW w:w="1274" w:type="dxa"/>
            <w:vMerge/>
            <w:tcBorders>
              <w:top w:val="nil"/>
              <w:bottom w:val="single" w:sz="4" w:space="0" w:color="auto"/>
            </w:tcBorders>
            <w:noWrap/>
          </w:tcPr>
          <w:p w14:paraId="583F9754" w14:textId="77777777" w:rsidR="00C64C95" w:rsidRPr="004A782C" w:rsidRDefault="00C64C95" w:rsidP="00B27EBA">
            <w:pPr>
              <w:spacing w:line="276" w:lineRule="auto"/>
              <w:contextualSpacing/>
              <w:jc w:val="both"/>
              <w:rPr>
                <w:color w:val="000000" w:themeColor="text1"/>
              </w:rPr>
            </w:pPr>
          </w:p>
        </w:tc>
        <w:tc>
          <w:tcPr>
            <w:tcW w:w="1157" w:type="dxa"/>
            <w:vMerge/>
            <w:tcBorders>
              <w:top w:val="nil"/>
              <w:bottom w:val="single" w:sz="4" w:space="0" w:color="auto"/>
            </w:tcBorders>
          </w:tcPr>
          <w:p w14:paraId="1A9D6728" w14:textId="77777777" w:rsidR="00C64C95" w:rsidRPr="004A782C" w:rsidRDefault="00C64C95" w:rsidP="00B27EBA">
            <w:pPr>
              <w:spacing w:line="276" w:lineRule="auto"/>
              <w:contextualSpacing/>
              <w:jc w:val="both"/>
              <w:rPr>
                <w:i/>
                <w:iCs/>
                <w:color w:val="000000" w:themeColor="text1"/>
              </w:rPr>
            </w:pPr>
          </w:p>
        </w:tc>
        <w:tc>
          <w:tcPr>
            <w:tcW w:w="1056" w:type="dxa"/>
            <w:tcBorders>
              <w:top w:val="nil"/>
              <w:bottom w:val="single" w:sz="4" w:space="0" w:color="auto"/>
            </w:tcBorders>
          </w:tcPr>
          <w:p w14:paraId="238B23C1" w14:textId="77777777" w:rsidR="00C64C95" w:rsidRPr="004A782C" w:rsidRDefault="00C64C95" w:rsidP="00B27EBA">
            <w:pPr>
              <w:spacing w:line="276" w:lineRule="auto"/>
              <w:contextualSpacing/>
              <w:jc w:val="both"/>
              <w:rPr>
                <w:color w:val="000000" w:themeColor="text1"/>
              </w:rPr>
            </w:pPr>
            <w:r w:rsidRPr="004A782C">
              <w:rPr>
                <w:color w:val="000000" w:themeColor="text1"/>
              </w:rPr>
              <w:t>Between Group</w:t>
            </w:r>
          </w:p>
        </w:tc>
        <w:tc>
          <w:tcPr>
            <w:tcW w:w="922" w:type="dxa"/>
            <w:tcBorders>
              <w:top w:val="nil"/>
              <w:bottom w:val="single" w:sz="4" w:space="0" w:color="auto"/>
            </w:tcBorders>
          </w:tcPr>
          <w:p w14:paraId="2BE75BC3" w14:textId="77777777" w:rsidR="00C64C95" w:rsidRPr="004A782C" w:rsidRDefault="00C64C95" w:rsidP="00B27EBA">
            <w:pPr>
              <w:spacing w:line="276" w:lineRule="auto"/>
              <w:contextualSpacing/>
              <w:jc w:val="both"/>
              <w:rPr>
                <w:color w:val="000000" w:themeColor="text1"/>
              </w:rPr>
            </w:pPr>
            <w:r w:rsidRPr="004A782C">
              <w:rPr>
                <w:color w:val="000000" w:themeColor="text1"/>
              </w:rPr>
              <w:t>Within Group</w:t>
            </w:r>
          </w:p>
        </w:tc>
        <w:tc>
          <w:tcPr>
            <w:tcW w:w="1384" w:type="dxa"/>
            <w:gridSpan w:val="2"/>
            <w:tcBorders>
              <w:top w:val="nil"/>
              <w:bottom w:val="single" w:sz="4" w:space="0" w:color="auto"/>
            </w:tcBorders>
          </w:tcPr>
          <w:p w14:paraId="65B8079A" w14:textId="77777777" w:rsidR="00C64C95" w:rsidRPr="004A782C" w:rsidRDefault="00C64C95" w:rsidP="00B27EBA">
            <w:pPr>
              <w:spacing w:line="276" w:lineRule="auto"/>
              <w:ind w:right="-103"/>
              <w:contextualSpacing/>
              <w:jc w:val="both"/>
              <w:rPr>
                <w:i/>
                <w:iCs/>
                <w:color w:val="000000" w:themeColor="text1"/>
              </w:rPr>
            </w:pPr>
          </w:p>
        </w:tc>
      </w:tr>
      <w:tr w:rsidR="00C64C95" w:rsidRPr="004A782C" w14:paraId="1B500B58" w14:textId="77777777" w:rsidTr="00EE3BE0">
        <w:trPr>
          <w:trHeight w:val="315"/>
        </w:trPr>
        <w:tc>
          <w:tcPr>
            <w:tcW w:w="8918" w:type="dxa"/>
            <w:gridSpan w:val="8"/>
            <w:tcBorders>
              <w:top w:val="single" w:sz="4" w:space="0" w:color="auto"/>
              <w:bottom w:val="single" w:sz="4" w:space="0" w:color="auto"/>
            </w:tcBorders>
            <w:noWrap/>
          </w:tcPr>
          <w:p w14:paraId="435E828A"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Ethnicity </w:t>
            </w:r>
          </w:p>
          <w:p w14:paraId="1BC2CD70" w14:textId="77777777" w:rsidR="00C64C95" w:rsidRPr="004A782C" w:rsidRDefault="00C64C95" w:rsidP="00B27EBA">
            <w:pPr>
              <w:spacing w:line="276" w:lineRule="auto"/>
              <w:contextualSpacing/>
              <w:jc w:val="both"/>
              <w:rPr>
                <w:color w:val="000000" w:themeColor="text1"/>
              </w:rPr>
            </w:pPr>
            <w:r w:rsidRPr="004A782C">
              <w:rPr>
                <w:color w:val="000000" w:themeColor="text1"/>
              </w:rPr>
              <w:t>[Brahmin/</w:t>
            </w:r>
            <w:proofErr w:type="spellStart"/>
            <w:r w:rsidRPr="004A782C">
              <w:rPr>
                <w:color w:val="000000" w:themeColor="text1"/>
              </w:rPr>
              <w:t>Kshetri</w:t>
            </w:r>
            <w:proofErr w:type="spellEnd"/>
            <w:r w:rsidRPr="004A782C">
              <w:rPr>
                <w:color w:val="000000" w:themeColor="text1"/>
              </w:rPr>
              <w:t xml:space="preserve"> (</w:t>
            </w:r>
            <w:r w:rsidRPr="004A782C">
              <w:rPr>
                <w:i/>
                <w:iCs/>
                <w:color w:val="000000" w:themeColor="text1"/>
              </w:rPr>
              <w:t>N</w:t>
            </w:r>
            <w:r w:rsidRPr="004A782C">
              <w:rPr>
                <w:color w:val="000000" w:themeColor="text1"/>
              </w:rPr>
              <w:t xml:space="preserve"> = 245), </w:t>
            </w:r>
            <w:proofErr w:type="spellStart"/>
            <w:r w:rsidRPr="004A782C">
              <w:rPr>
                <w:color w:val="000000" w:themeColor="text1"/>
              </w:rPr>
              <w:t>Janajaati</w:t>
            </w:r>
            <w:proofErr w:type="spellEnd"/>
            <w:r w:rsidRPr="004A782C">
              <w:rPr>
                <w:color w:val="000000" w:themeColor="text1"/>
              </w:rPr>
              <w:t xml:space="preserve"> (</w:t>
            </w:r>
            <w:r w:rsidRPr="004A782C">
              <w:rPr>
                <w:i/>
                <w:iCs/>
                <w:color w:val="000000" w:themeColor="text1"/>
              </w:rPr>
              <w:t>N</w:t>
            </w:r>
            <w:r w:rsidRPr="004A782C">
              <w:rPr>
                <w:color w:val="000000" w:themeColor="text1"/>
              </w:rPr>
              <w:t xml:space="preserve"> = 37), </w:t>
            </w:r>
            <w:proofErr w:type="spellStart"/>
            <w:r w:rsidRPr="004A782C">
              <w:rPr>
                <w:color w:val="000000" w:themeColor="text1"/>
              </w:rPr>
              <w:t>Newar</w:t>
            </w:r>
            <w:proofErr w:type="spellEnd"/>
            <w:r w:rsidRPr="004A782C">
              <w:rPr>
                <w:color w:val="000000" w:themeColor="text1"/>
              </w:rPr>
              <w:t xml:space="preserve"> (</w:t>
            </w:r>
            <w:r w:rsidRPr="004A782C">
              <w:rPr>
                <w:i/>
                <w:iCs/>
                <w:color w:val="000000" w:themeColor="text1"/>
              </w:rPr>
              <w:t>N</w:t>
            </w:r>
            <w:r w:rsidRPr="004A782C">
              <w:rPr>
                <w:color w:val="000000" w:themeColor="text1"/>
              </w:rPr>
              <w:t xml:space="preserve"> = 31), Others (</w:t>
            </w:r>
            <w:r w:rsidRPr="004A782C">
              <w:rPr>
                <w:i/>
                <w:iCs/>
                <w:color w:val="000000" w:themeColor="text1"/>
              </w:rPr>
              <w:t>N</w:t>
            </w:r>
            <w:r w:rsidRPr="004A782C">
              <w:rPr>
                <w:color w:val="000000" w:themeColor="text1"/>
              </w:rPr>
              <w:t xml:space="preserve"> = 31)]</w:t>
            </w:r>
          </w:p>
        </w:tc>
      </w:tr>
      <w:tr w:rsidR="00C64C95" w:rsidRPr="004A782C" w14:paraId="5D4CF0D4" w14:textId="77777777" w:rsidTr="00496B7B">
        <w:trPr>
          <w:trHeight w:val="315"/>
        </w:trPr>
        <w:tc>
          <w:tcPr>
            <w:tcW w:w="1851" w:type="dxa"/>
            <w:tcBorders>
              <w:top w:val="single" w:sz="4" w:space="0" w:color="auto"/>
            </w:tcBorders>
            <w:noWrap/>
            <w:hideMark/>
          </w:tcPr>
          <w:p w14:paraId="68CFF7A6"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ATMHP </w:t>
            </w:r>
            <w:r w:rsidRPr="004A782C">
              <w:rPr>
                <w:rFonts w:eastAsia="Times New Roman"/>
                <w:color w:val="000000" w:themeColor="text1"/>
                <w:lang w:bidi="ne-NP"/>
              </w:rPr>
              <w:t>Factor</w:t>
            </w:r>
          </w:p>
        </w:tc>
        <w:tc>
          <w:tcPr>
            <w:tcW w:w="1274" w:type="dxa"/>
            <w:tcBorders>
              <w:top w:val="single" w:sz="4" w:space="0" w:color="auto"/>
            </w:tcBorders>
            <w:noWrap/>
            <w:vAlign w:val="bottom"/>
            <w:hideMark/>
          </w:tcPr>
          <w:p w14:paraId="0D5C7C7D" w14:textId="77777777" w:rsidR="00C64C95" w:rsidRPr="004A782C" w:rsidRDefault="00C64C95" w:rsidP="00B27EBA">
            <w:pPr>
              <w:spacing w:line="276" w:lineRule="auto"/>
              <w:contextualSpacing/>
              <w:jc w:val="both"/>
              <w:rPr>
                <w:color w:val="000000" w:themeColor="text1"/>
              </w:rPr>
            </w:pPr>
          </w:p>
        </w:tc>
        <w:tc>
          <w:tcPr>
            <w:tcW w:w="1274" w:type="dxa"/>
            <w:tcBorders>
              <w:top w:val="single" w:sz="4" w:space="0" w:color="auto"/>
            </w:tcBorders>
            <w:noWrap/>
            <w:vAlign w:val="bottom"/>
            <w:hideMark/>
          </w:tcPr>
          <w:p w14:paraId="30209171" w14:textId="77777777" w:rsidR="00C64C95" w:rsidRPr="004A782C" w:rsidRDefault="00C64C95" w:rsidP="00B27EBA">
            <w:pPr>
              <w:spacing w:line="276" w:lineRule="auto"/>
              <w:contextualSpacing/>
              <w:jc w:val="both"/>
              <w:rPr>
                <w:color w:val="000000" w:themeColor="text1"/>
              </w:rPr>
            </w:pPr>
          </w:p>
        </w:tc>
        <w:tc>
          <w:tcPr>
            <w:tcW w:w="1157" w:type="dxa"/>
            <w:tcBorders>
              <w:top w:val="single" w:sz="4" w:space="0" w:color="auto"/>
            </w:tcBorders>
            <w:vAlign w:val="bottom"/>
          </w:tcPr>
          <w:p w14:paraId="6C786135" w14:textId="77777777" w:rsidR="00C64C95" w:rsidRPr="004A782C" w:rsidRDefault="00C64C95" w:rsidP="00B27EBA">
            <w:pPr>
              <w:spacing w:line="276" w:lineRule="auto"/>
              <w:contextualSpacing/>
              <w:jc w:val="both"/>
              <w:rPr>
                <w:color w:val="000000" w:themeColor="text1"/>
              </w:rPr>
            </w:pPr>
          </w:p>
        </w:tc>
        <w:tc>
          <w:tcPr>
            <w:tcW w:w="1056" w:type="dxa"/>
            <w:tcBorders>
              <w:top w:val="single" w:sz="4" w:space="0" w:color="auto"/>
            </w:tcBorders>
          </w:tcPr>
          <w:p w14:paraId="61362131" w14:textId="77777777" w:rsidR="00C64C95" w:rsidRPr="004A782C" w:rsidRDefault="00C64C95" w:rsidP="00B27EBA">
            <w:pPr>
              <w:spacing w:line="276" w:lineRule="auto"/>
              <w:contextualSpacing/>
              <w:jc w:val="both"/>
              <w:rPr>
                <w:color w:val="000000" w:themeColor="text1"/>
              </w:rPr>
            </w:pPr>
          </w:p>
        </w:tc>
        <w:tc>
          <w:tcPr>
            <w:tcW w:w="2306" w:type="dxa"/>
            <w:gridSpan w:val="3"/>
            <w:tcBorders>
              <w:top w:val="single" w:sz="4" w:space="0" w:color="auto"/>
            </w:tcBorders>
          </w:tcPr>
          <w:p w14:paraId="74A44737" w14:textId="77777777" w:rsidR="00C64C95" w:rsidRPr="004A782C" w:rsidRDefault="00C64C95" w:rsidP="00B27EBA">
            <w:pPr>
              <w:spacing w:line="276" w:lineRule="auto"/>
              <w:contextualSpacing/>
              <w:jc w:val="both"/>
              <w:rPr>
                <w:color w:val="000000" w:themeColor="text1"/>
              </w:rPr>
            </w:pPr>
          </w:p>
        </w:tc>
      </w:tr>
      <w:tr w:rsidR="00C64C95" w:rsidRPr="004A782C" w14:paraId="3690566C" w14:textId="77777777" w:rsidTr="00496B7B">
        <w:trPr>
          <w:trHeight w:val="315"/>
        </w:trPr>
        <w:tc>
          <w:tcPr>
            <w:tcW w:w="1851" w:type="dxa"/>
            <w:noWrap/>
            <w:hideMark/>
          </w:tcPr>
          <w:p w14:paraId="6BBFEBED" w14:textId="77777777" w:rsidR="00C64C95" w:rsidRPr="004A782C" w:rsidRDefault="00C64C95" w:rsidP="00B27EBA">
            <w:pPr>
              <w:spacing w:line="276" w:lineRule="auto"/>
              <w:contextualSpacing/>
              <w:jc w:val="both"/>
              <w:rPr>
                <w:color w:val="000000" w:themeColor="text1"/>
              </w:rPr>
            </w:pPr>
            <w:r w:rsidRPr="004A782C">
              <w:rPr>
                <w:color w:val="000000" w:themeColor="text1"/>
              </w:rPr>
              <w:t>Brahmin/</w:t>
            </w:r>
            <w:proofErr w:type="spellStart"/>
            <w:r w:rsidRPr="004A782C">
              <w:rPr>
                <w:color w:val="000000" w:themeColor="text1"/>
              </w:rPr>
              <w:t>Kshetri</w:t>
            </w:r>
            <w:proofErr w:type="spellEnd"/>
          </w:p>
        </w:tc>
        <w:tc>
          <w:tcPr>
            <w:tcW w:w="1274" w:type="dxa"/>
            <w:noWrap/>
            <w:vAlign w:val="center"/>
            <w:hideMark/>
          </w:tcPr>
          <w:p w14:paraId="3CCAC70D" w14:textId="77777777" w:rsidR="00C64C95" w:rsidRPr="004A782C" w:rsidRDefault="00C64C95" w:rsidP="00B27EBA">
            <w:pPr>
              <w:spacing w:line="276" w:lineRule="auto"/>
              <w:contextualSpacing/>
              <w:jc w:val="both"/>
              <w:rPr>
                <w:color w:val="000000" w:themeColor="text1"/>
              </w:rPr>
            </w:pPr>
            <w:r w:rsidRPr="004A782C">
              <w:rPr>
                <w:color w:val="000000"/>
              </w:rPr>
              <w:t>8.98</w:t>
            </w:r>
          </w:p>
        </w:tc>
        <w:tc>
          <w:tcPr>
            <w:tcW w:w="1274" w:type="dxa"/>
            <w:noWrap/>
            <w:vAlign w:val="center"/>
            <w:hideMark/>
          </w:tcPr>
          <w:p w14:paraId="4A43238D" w14:textId="77777777" w:rsidR="00C64C95" w:rsidRPr="004A782C" w:rsidRDefault="00C64C95" w:rsidP="00B27EBA">
            <w:pPr>
              <w:spacing w:line="276" w:lineRule="auto"/>
              <w:contextualSpacing/>
              <w:jc w:val="both"/>
              <w:rPr>
                <w:color w:val="000000" w:themeColor="text1"/>
              </w:rPr>
            </w:pPr>
            <w:r w:rsidRPr="004A782C">
              <w:rPr>
                <w:color w:val="000000"/>
              </w:rPr>
              <w:t>5.39</w:t>
            </w:r>
          </w:p>
        </w:tc>
        <w:tc>
          <w:tcPr>
            <w:tcW w:w="1157" w:type="dxa"/>
            <w:vAlign w:val="bottom"/>
          </w:tcPr>
          <w:p w14:paraId="0CB7AC4C" w14:textId="77777777" w:rsidR="00C64C95" w:rsidRPr="004A782C" w:rsidRDefault="00C64C95" w:rsidP="00B27EBA">
            <w:pPr>
              <w:spacing w:line="276" w:lineRule="auto"/>
              <w:contextualSpacing/>
              <w:jc w:val="both"/>
              <w:rPr>
                <w:color w:val="000000" w:themeColor="text1"/>
              </w:rPr>
            </w:pPr>
            <w:r w:rsidRPr="004A782C">
              <w:rPr>
                <w:color w:val="000000" w:themeColor="text1"/>
              </w:rPr>
              <w:t>2.22</w:t>
            </w:r>
          </w:p>
        </w:tc>
        <w:tc>
          <w:tcPr>
            <w:tcW w:w="1056" w:type="dxa"/>
          </w:tcPr>
          <w:p w14:paraId="7D598B70" w14:textId="77777777" w:rsidR="00C64C95" w:rsidRPr="004A782C" w:rsidRDefault="00C64C95" w:rsidP="00B27EBA">
            <w:pPr>
              <w:spacing w:line="276" w:lineRule="auto"/>
              <w:contextualSpacing/>
              <w:jc w:val="both"/>
              <w:rPr>
                <w:color w:val="000000" w:themeColor="text1"/>
              </w:rPr>
            </w:pPr>
            <w:r w:rsidRPr="004A782C">
              <w:rPr>
                <w:color w:val="000000" w:themeColor="text1"/>
              </w:rPr>
              <w:t>3</w:t>
            </w:r>
          </w:p>
        </w:tc>
        <w:tc>
          <w:tcPr>
            <w:tcW w:w="922" w:type="dxa"/>
          </w:tcPr>
          <w:p w14:paraId="6F4751DA" w14:textId="77777777" w:rsidR="00C64C95" w:rsidRPr="004A782C" w:rsidRDefault="00C64C95" w:rsidP="00B27EBA">
            <w:pPr>
              <w:spacing w:line="276" w:lineRule="auto"/>
              <w:contextualSpacing/>
              <w:jc w:val="both"/>
              <w:rPr>
                <w:color w:val="000000" w:themeColor="text1"/>
              </w:rPr>
            </w:pPr>
            <w:r w:rsidRPr="004A782C">
              <w:rPr>
                <w:color w:val="000000" w:themeColor="text1"/>
              </w:rPr>
              <w:t>340</w:t>
            </w:r>
          </w:p>
        </w:tc>
        <w:tc>
          <w:tcPr>
            <w:tcW w:w="1384" w:type="dxa"/>
            <w:gridSpan w:val="2"/>
          </w:tcPr>
          <w:p w14:paraId="1E1C164D" w14:textId="77777777" w:rsidR="00C64C95" w:rsidRPr="004A782C" w:rsidRDefault="00C64C95" w:rsidP="00B27EBA">
            <w:pPr>
              <w:spacing w:line="276" w:lineRule="auto"/>
              <w:contextualSpacing/>
              <w:jc w:val="both"/>
              <w:rPr>
                <w:color w:val="000000" w:themeColor="text1"/>
              </w:rPr>
            </w:pPr>
            <w:r w:rsidRPr="004A782C">
              <w:rPr>
                <w:color w:val="000000" w:themeColor="text1"/>
              </w:rPr>
              <w:t>0.085</w:t>
            </w:r>
          </w:p>
        </w:tc>
      </w:tr>
      <w:tr w:rsidR="00C64C95" w:rsidRPr="004A782C" w14:paraId="08AE76E7" w14:textId="77777777" w:rsidTr="00496B7B">
        <w:trPr>
          <w:trHeight w:val="300"/>
        </w:trPr>
        <w:tc>
          <w:tcPr>
            <w:tcW w:w="1851" w:type="dxa"/>
            <w:noWrap/>
            <w:hideMark/>
          </w:tcPr>
          <w:p w14:paraId="5A504DE4"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Janajaati</w:t>
            </w:r>
            <w:proofErr w:type="spellEnd"/>
          </w:p>
        </w:tc>
        <w:tc>
          <w:tcPr>
            <w:tcW w:w="1274" w:type="dxa"/>
            <w:noWrap/>
            <w:vAlign w:val="center"/>
            <w:hideMark/>
          </w:tcPr>
          <w:p w14:paraId="55C909CE" w14:textId="77777777" w:rsidR="00C64C95" w:rsidRPr="004A782C" w:rsidRDefault="00C64C95" w:rsidP="00B27EBA">
            <w:pPr>
              <w:spacing w:line="276" w:lineRule="auto"/>
              <w:contextualSpacing/>
              <w:jc w:val="both"/>
              <w:rPr>
                <w:color w:val="000000" w:themeColor="text1"/>
              </w:rPr>
            </w:pPr>
            <w:r w:rsidRPr="004A782C">
              <w:rPr>
                <w:color w:val="000000"/>
              </w:rPr>
              <w:t>10.43</w:t>
            </w:r>
          </w:p>
        </w:tc>
        <w:tc>
          <w:tcPr>
            <w:tcW w:w="1274" w:type="dxa"/>
            <w:noWrap/>
            <w:vAlign w:val="center"/>
            <w:hideMark/>
          </w:tcPr>
          <w:p w14:paraId="1C8A05D8" w14:textId="77777777" w:rsidR="00C64C95" w:rsidRPr="004A782C" w:rsidRDefault="00C64C95" w:rsidP="00B27EBA">
            <w:pPr>
              <w:spacing w:line="276" w:lineRule="auto"/>
              <w:contextualSpacing/>
              <w:jc w:val="both"/>
              <w:rPr>
                <w:color w:val="000000" w:themeColor="text1"/>
              </w:rPr>
            </w:pPr>
            <w:r w:rsidRPr="004A782C">
              <w:rPr>
                <w:color w:val="000000"/>
              </w:rPr>
              <w:t>4.92</w:t>
            </w:r>
          </w:p>
        </w:tc>
        <w:tc>
          <w:tcPr>
            <w:tcW w:w="1157" w:type="dxa"/>
            <w:vAlign w:val="bottom"/>
          </w:tcPr>
          <w:p w14:paraId="760EF96C" w14:textId="77777777" w:rsidR="00C64C95" w:rsidRPr="004A782C" w:rsidRDefault="00C64C95" w:rsidP="00B27EBA">
            <w:pPr>
              <w:spacing w:line="276" w:lineRule="auto"/>
              <w:contextualSpacing/>
              <w:jc w:val="both"/>
              <w:rPr>
                <w:color w:val="000000" w:themeColor="text1"/>
              </w:rPr>
            </w:pPr>
          </w:p>
        </w:tc>
        <w:tc>
          <w:tcPr>
            <w:tcW w:w="1056" w:type="dxa"/>
          </w:tcPr>
          <w:p w14:paraId="378388CA" w14:textId="77777777" w:rsidR="00C64C95" w:rsidRPr="004A782C" w:rsidRDefault="00C64C95" w:rsidP="00B27EBA">
            <w:pPr>
              <w:spacing w:line="276" w:lineRule="auto"/>
              <w:contextualSpacing/>
              <w:jc w:val="both"/>
              <w:rPr>
                <w:color w:val="000000" w:themeColor="text1"/>
              </w:rPr>
            </w:pPr>
          </w:p>
        </w:tc>
        <w:tc>
          <w:tcPr>
            <w:tcW w:w="2306" w:type="dxa"/>
            <w:gridSpan w:val="3"/>
          </w:tcPr>
          <w:p w14:paraId="4C237E3B" w14:textId="77777777" w:rsidR="00C64C95" w:rsidRPr="004A782C" w:rsidRDefault="00C64C95" w:rsidP="00B27EBA">
            <w:pPr>
              <w:spacing w:line="276" w:lineRule="auto"/>
              <w:contextualSpacing/>
              <w:jc w:val="both"/>
              <w:rPr>
                <w:color w:val="000000" w:themeColor="text1"/>
              </w:rPr>
            </w:pPr>
          </w:p>
        </w:tc>
      </w:tr>
      <w:tr w:rsidR="00C64C95" w:rsidRPr="004A782C" w14:paraId="48C02F88" w14:textId="77777777" w:rsidTr="00496B7B">
        <w:trPr>
          <w:trHeight w:val="300"/>
        </w:trPr>
        <w:tc>
          <w:tcPr>
            <w:tcW w:w="1851" w:type="dxa"/>
            <w:noWrap/>
            <w:hideMark/>
          </w:tcPr>
          <w:p w14:paraId="28142AC0"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Newar</w:t>
            </w:r>
            <w:proofErr w:type="spellEnd"/>
          </w:p>
        </w:tc>
        <w:tc>
          <w:tcPr>
            <w:tcW w:w="1274" w:type="dxa"/>
            <w:noWrap/>
            <w:vAlign w:val="center"/>
            <w:hideMark/>
          </w:tcPr>
          <w:p w14:paraId="28B8CF62" w14:textId="77777777" w:rsidR="00C64C95" w:rsidRPr="004A782C" w:rsidRDefault="00C64C95" w:rsidP="00B27EBA">
            <w:pPr>
              <w:spacing w:line="276" w:lineRule="auto"/>
              <w:contextualSpacing/>
              <w:jc w:val="both"/>
              <w:rPr>
                <w:color w:val="000000" w:themeColor="text1"/>
              </w:rPr>
            </w:pPr>
            <w:r w:rsidRPr="004A782C">
              <w:rPr>
                <w:color w:val="000000"/>
              </w:rPr>
              <w:t>8.00</w:t>
            </w:r>
          </w:p>
        </w:tc>
        <w:tc>
          <w:tcPr>
            <w:tcW w:w="1274" w:type="dxa"/>
            <w:noWrap/>
            <w:vAlign w:val="center"/>
            <w:hideMark/>
          </w:tcPr>
          <w:p w14:paraId="54F8AEF4" w14:textId="77777777" w:rsidR="00C64C95" w:rsidRPr="004A782C" w:rsidRDefault="00C64C95" w:rsidP="00B27EBA">
            <w:pPr>
              <w:spacing w:line="276" w:lineRule="auto"/>
              <w:contextualSpacing/>
              <w:jc w:val="both"/>
              <w:rPr>
                <w:color w:val="000000" w:themeColor="text1"/>
              </w:rPr>
            </w:pPr>
            <w:r w:rsidRPr="004A782C">
              <w:rPr>
                <w:color w:val="000000"/>
              </w:rPr>
              <w:t>4.49</w:t>
            </w:r>
          </w:p>
        </w:tc>
        <w:tc>
          <w:tcPr>
            <w:tcW w:w="1157" w:type="dxa"/>
            <w:vAlign w:val="bottom"/>
          </w:tcPr>
          <w:p w14:paraId="635CA400" w14:textId="77777777" w:rsidR="00C64C95" w:rsidRPr="004A782C" w:rsidRDefault="00C64C95" w:rsidP="00B27EBA">
            <w:pPr>
              <w:spacing w:line="276" w:lineRule="auto"/>
              <w:contextualSpacing/>
              <w:jc w:val="both"/>
              <w:rPr>
                <w:color w:val="000000" w:themeColor="text1"/>
              </w:rPr>
            </w:pPr>
          </w:p>
        </w:tc>
        <w:tc>
          <w:tcPr>
            <w:tcW w:w="1056" w:type="dxa"/>
          </w:tcPr>
          <w:p w14:paraId="740C7A46" w14:textId="77777777" w:rsidR="00C64C95" w:rsidRPr="004A782C" w:rsidRDefault="00C64C95" w:rsidP="00B27EBA">
            <w:pPr>
              <w:spacing w:line="276" w:lineRule="auto"/>
              <w:contextualSpacing/>
              <w:jc w:val="both"/>
              <w:rPr>
                <w:color w:val="000000" w:themeColor="text1"/>
              </w:rPr>
            </w:pPr>
          </w:p>
        </w:tc>
        <w:tc>
          <w:tcPr>
            <w:tcW w:w="2306" w:type="dxa"/>
            <w:gridSpan w:val="3"/>
          </w:tcPr>
          <w:p w14:paraId="1DBBCD50" w14:textId="77777777" w:rsidR="00C64C95" w:rsidRPr="004A782C" w:rsidRDefault="00C64C95" w:rsidP="00B27EBA">
            <w:pPr>
              <w:spacing w:line="276" w:lineRule="auto"/>
              <w:contextualSpacing/>
              <w:jc w:val="both"/>
              <w:rPr>
                <w:color w:val="000000" w:themeColor="text1"/>
              </w:rPr>
            </w:pPr>
          </w:p>
        </w:tc>
      </w:tr>
      <w:tr w:rsidR="00C64C95" w:rsidRPr="004A782C" w14:paraId="726B3592" w14:textId="77777777" w:rsidTr="00496B7B">
        <w:trPr>
          <w:trHeight w:val="315"/>
        </w:trPr>
        <w:tc>
          <w:tcPr>
            <w:tcW w:w="1851" w:type="dxa"/>
            <w:noWrap/>
            <w:hideMark/>
          </w:tcPr>
          <w:p w14:paraId="0FEC5A76" w14:textId="77777777" w:rsidR="00C64C95" w:rsidRPr="004A782C" w:rsidRDefault="00C64C95" w:rsidP="00B27EBA">
            <w:pPr>
              <w:spacing w:line="276" w:lineRule="auto"/>
              <w:contextualSpacing/>
              <w:jc w:val="both"/>
              <w:rPr>
                <w:color w:val="000000" w:themeColor="text1"/>
              </w:rPr>
            </w:pPr>
            <w:r w:rsidRPr="004A782C">
              <w:rPr>
                <w:color w:val="000000" w:themeColor="text1"/>
              </w:rPr>
              <w:t>Others</w:t>
            </w:r>
          </w:p>
        </w:tc>
        <w:tc>
          <w:tcPr>
            <w:tcW w:w="1274" w:type="dxa"/>
            <w:noWrap/>
            <w:vAlign w:val="center"/>
            <w:hideMark/>
          </w:tcPr>
          <w:p w14:paraId="7957237A" w14:textId="77777777" w:rsidR="00C64C95" w:rsidRPr="004A782C" w:rsidRDefault="00C64C95" w:rsidP="00B27EBA">
            <w:pPr>
              <w:spacing w:line="276" w:lineRule="auto"/>
              <w:contextualSpacing/>
              <w:jc w:val="both"/>
              <w:rPr>
                <w:color w:val="000000" w:themeColor="text1"/>
              </w:rPr>
            </w:pPr>
            <w:r w:rsidRPr="004A782C">
              <w:rPr>
                <w:color w:val="000000"/>
              </w:rPr>
              <w:t>7.45</w:t>
            </w:r>
          </w:p>
        </w:tc>
        <w:tc>
          <w:tcPr>
            <w:tcW w:w="1274" w:type="dxa"/>
            <w:noWrap/>
            <w:vAlign w:val="center"/>
            <w:hideMark/>
          </w:tcPr>
          <w:p w14:paraId="1EF8EB85" w14:textId="77777777" w:rsidR="00C64C95" w:rsidRPr="004A782C" w:rsidRDefault="00C64C95" w:rsidP="00B27EBA">
            <w:pPr>
              <w:spacing w:line="276" w:lineRule="auto"/>
              <w:contextualSpacing/>
              <w:jc w:val="both"/>
              <w:rPr>
                <w:color w:val="000000" w:themeColor="text1"/>
              </w:rPr>
            </w:pPr>
            <w:r w:rsidRPr="004A782C">
              <w:rPr>
                <w:color w:val="000000"/>
              </w:rPr>
              <w:t>4.23</w:t>
            </w:r>
          </w:p>
        </w:tc>
        <w:tc>
          <w:tcPr>
            <w:tcW w:w="1157" w:type="dxa"/>
            <w:vAlign w:val="bottom"/>
          </w:tcPr>
          <w:p w14:paraId="4E700BE2" w14:textId="77777777" w:rsidR="00C64C95" w:rsidRPr="004A782C" w:rsidRDefault="00C64C95" w:rsidP="00B27EBA">
            <w:pPr>
              <w:spacing w:line="276" w:lineRule="auto"/>
              <w:contextualSpacing/>
              <w:jc w:val="both"/>
              <w:rPr>
                <w:color w:val="000000" w:themeColor="text1"/>
              </w:rPr>
            </w:pPr>
          </w:p>
        </w:tc>
        <w:tc>
          <w:tcPr>
            <w:tcW w:w="1056" w:type="dxa"/>
          </w:tcPr>
          <w:p w14:paraId="3B84AA47" w14:textId="77777777" w:rsidR="00C64C95" w:rsidRPr="004A782C" w:rsidRDefault="00C64C95" w:rsidP="00B27EBA">
            <w:pPr>
              <w:spacing w:line="276" w:lineRule="auto"/>
              <w:contextualSpacing/>
              <w:jc w:val="both"/>
              <w:rPr>
                <w:color w:val="000000" w:themeColor="text1"/>
              </w:rPr>
            </w:pPr>
          </w:p>
        </w:tc>
        <w:tc>
          <w:tcPr>
            <w:tcW w:w="2306" w:type="dxa"/>
            <w:gridSpan w:val="3"/>
          </w:tcPr>
          <w:p w14:paraId="6B854314" w14:textId="77777777" w:rsidR="00C64C95" w:rsidRPr="004A782C" w:rsidRDefault="00C64C95" w:rsidP="00B27EBA">
            <w:pPr>
              <w:spacing w:line="276" w:lineRule="auto"/>
              <w:contextualSpacing/>
              <w:jc w:val="both"/>
              <w:rPr>
                <w:color w:val="000000" w:themeColor="text1"/>
              </w:rPr>
            </w:pPr>
          </w:p>
        </w:tc>
      </w:tr>
      <w:tr w:rsidR="00C64C95" w:rsidRPr="004A782C" w14:paraId="60F206E9" w14:textId="77777777" w:rsidTr="00496B7B">
        <w:trPr>
          <w:trHeight w:val="315"/>
        </w:trPr>
        <w:tc>
          <w:tcPr>
            <w:tcW w:w="1851" w:type="dxa"/>
            <w:noWrap/>
            <w:hideMark/>
          </w:tcPr>
          <w:p w14:paraId="15F3240B"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ES </w:t>
            </w:r>
            <w:r w:rsidRPr="004A782C">
              <w:rPr>
                <w:rFonts w:eastAsia="Times New Roman"/>
                <w:color w:val="000000" w:themeColor="text1"/>
                <w:lang w:bidi="ne-NP"/>
              </w:rPr>
              <w:t>Factor</w:t>
            </w:r>
          </w:p>
        </w:tc>
        <w:tc>
          <w:tcPr>
            <w:tcW w:w="1274" w:type="dxa"/>
            <w:noWrap/>
            <w:vAlign w:val="bottom"/>
            <w:hideMark/>
          </w:tcPr>
          <w:p w14:paraId="2BBA732B" w14:textId="77777777" w:rsidR="00C64C95" w:rsidRPr="004A782C" w:rsidRDefault="00C64C95" w:rsidP="00B27EBA">
            <w:pPr>
              <w:spacing w:line="276" w:lineRule="auto"/>
              <w:contextualSpacing/>
              <w:jc w:val="both"/>
              <w:rPr>
                <w:color w:val="000000" w:themeColor="text1"/>
              </w:rPr>
            </w:pPr>
          </w:p>
        </w:tc>
        <w:tc>
          <w:tcPr>
            <w:tcW w:w="1274" w:type="dxa"/>
            <w:noWrap/>
            <w:vAlign w:val="bottom"/>
            <w:hideMark/>
          </w:tcPr>
          <w:p w14:paraId="2AE102CD" w14:textId="77777777" w:rsidR="00C64C95" w:rsidRPr="004A782C" w:rsidRDefault="00C64C95" w:rsidP="00B27EBA">
            <w:pPr>
              <w:spacing w:line="276" w:lineRule="auto"/>
              <w:contextualSpacing/>
              <w:jc w:val="both"/>
              <w:rPr>
                <w:color w:val="000000" w:themeColor="text1"/>
              </w:rPr>
            </w:pPr>
          </w:p>
        </w:tc>
        <w:tc>
          <w:tcPr>
            <w:tcW w:w="1157" w:type="dxa"/>
            <w:vAlign w:val="bottom"/>
          </w:tcPr>
          <w:p w14:paraId="15354592" w14:textId="77777777" w:rsidR="00C64C95" w:rsidRPr="004A782C" w:rsidRDefault="00C64C95" w:rsidP="00B27EBA">
            <w:pPr>
              <w:spacing w:line="276" w:lineRule="auto"/>
              <w:contextualSpacing/>
              <w:jc w:val="both"/>
              <w:rPr>
                <w:color w:val="000000" w:themeColor="text1"/>
              </w:rPr>
            </w:pPr>
          </w:p>
        </w:tc>
        <w:tc>
          <w:tcPr>
            <w:tcW w:w="1056" w:type="dxa"/>
          </w:tcPr>
          <w:p w14:paraId="37BAB660" w14:textId="77777777" w:rsidR="00C64C95" w:rsidRPr="004A782C" w:rsidRDefault="00C64C95" w:rsidP="00B27EBA">
            <w:pPr>
              <w:spacing w:line="276" w:lineRule="auto"/>
              <w:contextualSpacing/>
              <w:jc w:val="both"/>
              <w:rPr>
                <w:color w:val="000000" w:themeColor="text1"/>
              </w:rPr>
            </w:pPr>
          </w:p>
        </w:tc>
        <w:tc>
          <w:tcPr>
            <w:tcW w:w="2306" w:type="dxa"/>
            <w:gridSpan w:val="3"/>
          </w:tcPr>
          <w:p w14:paraId="10F34D88" w14:textId="77777777" w:rsidR="00C64C95" w:rsidRPr="004A782C" w:rsidRDefault="00C64C95" w:rsidP="00B27EBA">
            <w:pPr>
              <w:spacing w:line="276" w:lineRule="auto"/>
              <w:contextualSpacing/>
              <w:jc w:val="both"/>
              <w:rPr>
                <w:color w:val="000000" w:themeColor="text1"/>
              </w:rPr>
            </w:pPr>
          </w:p>
        </w:tc>
      </w:tr>
      <w:tr w:rsidR="00C64C95" w:rsidRPr="004A782C" w14:paraId="79CEB45B" w14:textId="77777777" w:rsidTr="00496B7B">
        <w:trPr>
          <w:trHeight w:val="300"/>
        </w:trPr>
        <w:tc>
          <w:tcPr>
            <w:tcW w:w="1851" w:type="dxa"/>
            <w:noWrap/>
            <w:hideMark/>
          </w:tcPr>
          <w:p w14:paraId="400014CD" w14:textId="77777777" w:rsidR="00C64C95" w:rsidRPr="004A782C" w:rsidRDefault="00C64C95" w:rsidP="00B27EBA">
            <w:pPr>
              <w:spacing w:line="276" w:lineRule="auto"/>
              <w:contextualSpacing/>
              <w:jc w:val="both"/>
              <w:rPr>
                <w:color w:val="000000" w:themeColor="text1"/>
              </w:rPr>
            </w:pPr>
            <w:r w:rsidRPr="004A782C">
              <w:rPr>
                <w:color w:val="000000" w:themeColor="text1"/>
              </w:rPr>
              <w:t>Brahmin/</w:t>
            </w:r>
            <w:proofErr w:type="spellStart"/>
            <w:r w:rsidRPr="004A782C">
              <w:rPr>
                <w:color w:val="000000" w:themeColor="text1"/>
              </w:rPr>
              <w:t>Kshetri</w:t>
            </w:r>
            <w:proofErr w:type="spellEnd"/>
          </w:p>
        </w:tc>
        <w:tc>
          <w:tcPr>
            <w:tcW w:w="1274" w:type="dxa"/>
            <w:noWrap/>
            <w:vAlign w:val="center"/>
            <w:hideMark/>
          </w:tcPr>
          <w:p w14:paraId="5E2AD57C" w14:textId="77777777" w:rsidR="00C64C95" w:rsidRPr="004A782C" w:rsidRDefault="00C64C95" w:rsidP="00B27EBA">
            <w:pPr>
              <w:spacing w:line="276" w:lineRule="auto"/>
              <w:contextualSpacing/>
              <w:jc w:val="both"/>
              <w:rPr>
                <w:color w:val="000000" w:themeColor="text1"/>
              </w:rPr>
            </w:pPr>
            <w:r w:rsidRPr="004A782C">
              <w:rPr>
                <w:color w:val="000000"/>
              </w:rPr>
              <w:t>8.14</w:t>
            </w:r>
          </w:p>
        </w:tc>
        <w:tc>
          <w:tcPr>
            <w:tcW w:w="1274" w:type="dxa"/>
            <w:noWrap/>
            <w:vAlign w:val="center"/>
            <w:hideMark/>
          </w:tcPr>
          <w:p w14:paraId="2C4CEE29" w14:textId="77777777" w:rsidR="00C64C95" w:rsidRPr="004A782C" w:rsidRDefault="00C64C95" w:rsidP="00B27EBA">
            <w:pPr>
              <w:spacing w:line="276" w:lineRule="auto"/>
              <w:contextualSpacing/>
              <w:jc w:val="both"/>
              <w:rPr>
                <w:color w:val="000000" w:themeColor="text1"/>
              </w:rPr>
            </w:pPr>
            <w:r w:rsidRPr="004A782C">
              <w:rPr>
                <w:color w:val="000000"/>
              </w:rPr>
              <w:t>7.10</w:t>
            </w:r>
          </w:p>
        </w:tc>
        <w:tc>
          <w:tcPr>
            <w:tcW w:w="1157" w:type="dxa"/>
            <w:vAlign w:val="center"/>
          </w:tcPr>
          <w:p w14:paraId="1E5954E4" w14:textId="77777777" w:rsidR="00C64C95" w:rsidRPr="004A782C" w:rsidRDefault="00C64C95" w:rsidP="00B27EBA">
            <w:pPr>
              <w:spacing w:line="276" w:lineRule="auto"/>
              <w:contextualSpacing/>
              <w:jc w:val="both"/>
              <w:rPr>
                <w:color w:val="000000" w:themeColor="text1"/>
              </w:rPr>
            </w:pPr>
            <w:r w:rsidRPr="004A782C">
              <w:rPr>
                <w:color w:val="000000"/>
              </w:rPr>
              <w:t>0.50</w:t>
            </w:r>
          </w:p>
        </w:tc>
        <w:tc>
          <w:tcPr>
            <w:tcW w:w="1056" w:type="dxa"/>
            <w:vAlign w:val="center"/>
          </w:tcPr>
          <w:p w14:paraId="641A78EE" w14:textId="77777777" w:rsidR="00C64C95" w:rsidRPr="004A782C" w:rsidRDefault="00C64C95" w:rsidP="00B27EBA">
            <w:pPr>
              <w:spacing w:line="276" w:lineRule="auto"/>
              <w:contextualSpacing/>
              <w:jc w:val="both"/>
              <w:rPr>
                <w:color w:val="000000" w:themeColor="text1"/>
              </w:rPr>
            </w:pPr>
            <w:r w:rsidRPr="004A782C">
              <w:rPr>
                <w:color w:val="000000"/>
              </w:rPr>
              <w:t>3</w:t>
            </w:r>
          </w:p>
        </w:tc>
        <w:tc>
          <w:tcPr>
            <w:tcW w:w="922" w:type="dxa"/>
            <w:vAlign w:val="center"/>
          </w:tcPr>
          <w:p w14:paraId="669E34F3" w14:textId="77777777" w:rsidR="00C64C95" w:rsidRPr="004A782C" w:rsidRDefault="00C64C95" w:rsidP="00B27EBA">
            <w:pPr>
              <w:spacing w:line="276" w:lineRule="auto"/>
              <w:contextualSpacing/>
              <w:jc w:val="both"/>
              <w:rPr>
                <w:color w:val="000000" w:themeColor="text1"/>
              </w:rPr>
            </w:pPr>
            <w:r w:rsidRPr="004A782C">
              <w:rPr>
                <w:color w:val="000000"/>
              </w:rPr>
              <w:t>340</w:t>
            </w:r>
          </w:p>
        </w:tc>
        <w:tc>
          <w:tcPr>
            <w:tcW w:w="1384" w:type="dxa"/>
            <w:gridSpan w:val="2"/>
            <w:vAlign w:val="center"/>
          </w:tcPr>
          <w:p w14:paraId="5E623D18" w14:textId="77777777" w:rsidR="00C64C95" w:rsidRPr="004A782C" w:rsidRDefault="00C64C95" w:rsidP="00B27EBA">
            <w:pPr>
              <w:spacing w:line="276" w:lineRule="auto"/>
              <w:contextualSpacing/>
              <w:jc w:val="both"/>
              <w:rPr>
                <w:color w:val="000000" w:themeColor="text1"/>
              </w:rPr>
            </w:pPr>
            <w:r w:rsidRPr="004A782C">
              <w:rPr>
                <w:color w:val="000000"/>
              </w:rPr>
              <w:t>0.681</w:t>
            </w:r>
          </w:p>
        </w:tc>
      </w:tr>
      <w:tr w:rsidR="00C64C95" w:rsidRPr="004A782C" w14:paraId="1E0EE998" w14:textId="77777777" w:rsidTr="00496B7B">
        <w:trPr>
          <w:trHeight w:val="300"/>
        </w:trPr>
        <w:tc>
          <w:tcPr>
            <w:tcW w:w="1851" w:type="dxa"/>
            <w:noWrap/>
            <w:hideMark/>
          </w:tcPr>
          <w:p w14:paraId="09EA03D1"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Janajaati</w:t>
            </w:r>
            <w:proofErr w:type="spellEnd"/>
          </w:p>
        </w:tc>
        <w:tc>
          <w:tcPr>
            <w:tcW w:w="1274" w:type="dxa"/>
            <w:noWrap/>
            <w:vAlign w:val="center"/>
            <w:hideMark/>
          </w:tcPr>
          <w:p w14:paraId="71A12D08" w14:textId="77777777" w:rsidR="00C64C95" w:rsidRPr="004A782C" w:rsidRDefault="00C64C95" w:rsidP="00B27EBA">
            <w:pPr>
              <w:spacing w:line="276" w:lineRule="auto"/>
              <w:contextualSpacing/>
              <w:jc w:val="both"/>
              <w:rPr>
                <w:color w:val="000000" w:themeColor="text1"/>
              </w:rPr>
            </w:pPr>
            <w:r w:rsidRPr="004A782C">
              <w:rPr>
                <w:color w:val="000000"/>
              </w:rPr>
              <w:t>9.43</w:t>
            </w:r>
          </w:p>
        </w:tc>
        <w:tc>
          <w:tcPr>
            <w:tcW w:w="1274" w:type="dxa"/>
            <w:noWrap/>
            <w:vAlign w:val="center"/>
            <w:hideMark/>
          </w:tcPr>
          <w:p w14:paraId="4F499061" w14:textId="77777777" w:rsidR="00C64C95" w:rsidRPr="004A782C" w:rsidRDefault="00C64C95" w:rsidP="00B27EBA">
            <w:pPr>
              <w:spacing w:line="276" w:lineRule="auto"/>
              <w:contextualSpacing/>
              <w:jc w:val="both"/>
              <w:rPr>
                <w:color w:val="000000" w:themeColor="text1"/>
              </w:rPr>
            </w:pPr>
            <w:r w:rsidRPr="004A782C">
              <w:rPr>
                <w:color w:val="000000"/>
              </w:rPr>
              <w:t>6.11</w:t>
            </w:r>
          </w:p>
        </w:tc>
        <w:tc>
          <w:tcPr>
            <w:tcW w:w="1157" w:type="dxa"/>
            <w:vAlign w:val="bottom"/>
          </w:tcPr>
          <w:p w14:paraId="5434B879"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0595CEA1"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5F24B3B4" w14:textId="77777777" w:rsidR="00C64C95" w:rsidRPr="004A782C" w:rsidRDefault="00C64C95" w:rsidP="00B27EBA">
            <w:pPr>
              <w:spacing w:line="276" w:lineRule="auto"/>
              <w:contextualSpacing/>
              <w:jc w:val="both"/>
              <w:rPr>
                <w:color w:val="000000" w:themeColor="text1"/>
              </w:rPr>
            </w:pPr>
          </w:p>
        </w:tc>
      </w:tr>
      <w:tr w:rsidR="00C64C95" w:rsidRPr="004A782C" w14:paraId="128DC27C" w14:textId="77777777" w:rsidTr="00496B7B">
        <w:trPr>
          <w:trHeight w:val="315"/>
        </w:trPr>
        <w:tc>
          <w:tcPr>
            <w:tcW w:w="1851" w:type="dxa"/>
            <w:noWrap/>
            <w:hideMark/>
          </w:tcPr>
          <w:p w14:paraId="3D242098"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Newar</w:t>
            </w:r>
            <w:proofErr w:type="spellEnd"/>
          </w:p>
        </w:tc>
        <w:tc>
          <w:tcPr>
            <w:tcW w:w="1274" w:type="dxa"/>
            <w:noWrap/>
            <w:vAlign w:val="center"/>
            <w:hideMark/>
          </w:tcPr>
          <w:p w14:paraId="2E033FC9" w14:textId="77777777" w:rsidR="00C64C95" w:rsidRPr="004A782C" w:rsidRDefault="00C64C95" w:rsidP="00B27EBA">
            <w:pPr>
              <w:spacing w:line="276" w:lineRule="auto"/>
              <w:contextualSpacing/>
              <w:jc w:val="both"/>
              <w:rPr>
                <w:color w:val="000000" w:themeColor="text1"/>
              </w:rPr>
            </w:pPr>
            <w:r w:rsidRPr="004A782C">
              <w:rPr>
                <w:color w:val="000000"/>
              </w:rPr>
              <w:t>8.94</w:t>
            </w:r>
          </w:p>
        </w:tc>
        <w:tc>
          <w:tcPr>
            <w:tcW w:w="1274" w:type="dxa"/>
            <w:noWrap/>
            <w:vAlign w:val="center"/>
            <w:hideMark/>
          </w:tcPr>
          <w:p w14:paraId="4DB2D052" w14:textId="77777777" w:rsidR="00C64C95" w:rsidRPr="004A782C" w:rsidRDefault="00C64C95" w:rsidP="00B27EBA">
            <w:pPr>
              <w:spacing w:line="276" w:lineRule="auto"/>
              <w:contextualSpacing/>
              <w:jc w:val="both"/>
              <w:rPr>
                <w:color w:val="000000" w:themeColor="text1"/>
              </w:rPr>
            </w:pPr>
            <w:r w:rsidRPr="004A782C">
              <w:rPr>
                <w:color w:val="000000"/>
              </w:rPr>
              <w:t>6.74</w:t>
            </w:r>
          </w:p>
        </w:tc>
        <w:tc>
          <w:tcPr>
            <w:tcW w:w="1157" w:type="dxa"/>
            <w:vAlign w:val="bottom"/>
          </w:tcPr>
          <w:p w14:paraId="5FEEAC82"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625CE572"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0DB27AC" w14:textId="77777777" w:rsidR="00C64C95" w:rsidRPr="004A782C" w:rsidRDefault="00C64C95" w:rsidP="00B27EBA">
            <w:pPr>
              <w:spacing w:line="276" w:lineRule="auto"/>
              <w:contextualSpacing/>
              <w:jc w:val="both"/>
              <w:rPr>
                <w:color w:val="000000" w:themeColor="text1"/>
              </w:rPr>
            </w:pPr>
          </w:p>
        </w:tc>
      </w:tr>
      <w:tr w:rsidR="00C64C95" w:rsidRPr="004A782C" w14:paraId="6ADD2D2D" w14:textId="77777777" w:rsidTr="00496B7B">
        <w:trPr>
          <w:trHeight w:val="300"/>
        </w:trPr>
        <w:tc>
          <w:tcPr>
            <w:tcW w:w="1851" w:type="dxa"/>
            <w:noWrap/>
            <w:hideMark/>
          </w:tcPr>
          <w:p w14:paraId="636AD015" w14:textId="77777777" w:rsidR="00C64C95" w:rsidRPr="004A782C" w:rsidRDefault="00C64C95" w:rsidP="00B27EBA">
            <w:pPr>
              <w:spacing w:line="276" w:lineRule="auto"/>
              <w:contextualSpacing/>
              <w:jc w:val="both"/>
              <w:rPr>
                <w:color w:val="000000" w:themeColor="text1"/>
              </w:rPr>
            </w:pPr>
            <w:r w:rsidRPr="004A782C">
              <w:rPr>
                <w:color w:val="000000" w:themeColor="text1"/>
              </w:rPr>
              <w:t>Others</w:t>
            </w:r>
          </w:p>
        </w:tc>
        <w:tc>
          <w:tcPr>
            <w:tcW w:w="1274" w:type="dxa"/>
            <w:noWrap/>
            <w:vAlign w:val="center"/>
            <w:hideMark/>
          </w:tcPr>
          <w:p w14:paraId="13BDA8F2" w14:textId="77777777" w:rsidR="00C64C95" w:rsidRPr="004A782C" w:rsidRDefault="00C64C95" w:rsidP="00B27EBA">
            <w:pPr>
              <w:spacing w:line="276" w:lineRule="auto"/>
              <w:contextualSpacing/>
              <w:jc w:val="both"/>
              <w:rPr>
                <w:color w:val="000000" w:themeColor="text1"/>
              </w:rPr>
            </w:pPr>
            <w:r w:rsidRPr="004A782C">
              <w:rPr>
                <w:color w:val="000000"/>
              </w:rPr>
              <w:t>7.87</w:t>
            </w:r>
          </w:p>
        </w:tc>
        <w:tc>
          <w:tcPr>
            <w:tcW w:w="1274" w:type="dxa"/>
            <w:noWrap/>
            <w:vAlign w:val="center"/>
            <w:hideMark/>
          </w:tcPr>
          <w:p w14:paraId="6E07144B" w14:textId="77777777" w:rsidR="00C64C95" w:rsidRPr="004A782C" w:rsidRDefault="00C64C95" w:rsidP="00B27EBA">
            <w:pPr>
              <w:spacing w:line="276" w:lineRule="auto"/>
              <w:contextualSpacing/>
              <w:jc w:val="both"/>
              <w:rPr>
                <w:color w:val="000000" w:themeColor="text1"/>
              </w:rPr>
            </w:pPr>
            <w:r w:rsidRPr="004A782C">
              <w:rPr>
                <w:color w:val="000000"/>
              </w:rPr>
              <w:t>6.08</w:t>
            </w:r>
          </w:p>
        </w:tc>
        <w:tc>
          <w:tcPr>
            <w:tcW w:w="1157" w:type="dxa"/>
            <w:vAlign w:val="bottom"/>
          </w:tcPr>
          <w:p w14:paraId="20A26CEC"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12394DF6"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3B70A0FF" w14:textId="77777777" w:rsidR="00C64C95" w:rsidRPr="004A782C" w:rsidRDefault="00C64C95" w:rsidP="00B27EBA">
            <w:pPr>
              <w:spacing w:line="276" w:lineRule="auto"/>
              <w:contextualSpacing/>
              <w:jc w:val="both"/>
              <w:rPr>
                <w:color w:val="000000" w:themeColor="text1"/>
              </w:rPr>
            </w:pPr>
          </w:p>
        </w:tc>
      </w:tr>
      <w:tr w:rsidR="00C64C95" w:rsidRPr="004A782C" w14:paraId="51259A9C" w14:textId="77777777" w:rsidTr="00496B7B">
        <w:trPr>
          <w:trHeight w:val="315"/>
        </w:trPr>
        <w:tc>
          <w:tcPr>
            <w:tcW w:w="1851" w:type="dxa"/>
            <w:noWrap/>
            <w:hideMark/>
          </w:tcPr>
          <w:p w14:paraId="421B0FAF"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IS </w:t>
            </w:r>
            <w:r w:rsidRPr="004A782C">
              <w:rPr>
                <w:rFonts w:eastAsia="Times New Roman"/>
                <w:color w:val="000000" w:themeColor="text1"/>
                <w:lang w:bidi="ne-NP"/>
              </w:rPr>
              <w:t>Factor</w:t>
            </w:r>
          </w:p>
        </w:tc>
        <w:tc>
          <w:tcPr>
            <w:tcW w:w="1274" w:type="dxa"/>
            <w:noWrap/>
            <w:vAlign w:val="bottom"/>
            <w:hideMark/>
          </w:tcPr>
          <w:p w14:paraId="23357BA0" w14:textId="77777777" w:rsidR="00C64C95" w:rsidRPr="004A782C" w:rsidRDefault="00C64C95" w:rsidP="00B27EBA">
            <w:pPr>
              <w:spacing w:line="276" w:lineRule="auto"/>
              <w:contextualSpacing/>
              <w:jc w:val="both"/>
              <w:rPr>
                <w:color w:val="000000" w:themeColor="text1"/>
              </w:rPr>
            </w:pPr>
          </w:p>
        </w:tc>
        <w:tc>
          <w:tcPr>
            <w:tcW w:w="1274" w:type="dxa"/>
            <w:noWrap/>
            <w:vAlign w:val="bottom"/>
            <w:hideMark/>
          </w:tcPr>
          <w:p w14:paraId="55D474CD" w14:textId="77777777" w:rsidR="00C64C95" w:rsidRPr="004A782C" w:rsidRDefault="00C64C95" w:rsidP="00B27EBA">
            <w:pPr>
              <w:spacing w:line="276" w:lineRule="auto"/>
              <w:contextualSpacing/>
              <w:jc w:val="both"/>
              <w:rPr>
                <w:color w:val="000000" w:themeColor="text1"/>
              </w:rPr>
            </w:pPr>
          </w:p>
        </w:tc>
        <w:tc>
          <w:tcPr>
            <w:tcW w:w="1157" w:type="dxa"/>
            <w:vAlign w:val="bottom"/>
          </w:tcPr>
          <w:p w14:paraId="5291C7D8" w14:textId="77777777" w:rsidR="00C64C95" w:rsidRPr="004A782C" w:rsidRDefault="00C64C95" w:rsidP="00B27EBA">
            <w:pPr>
              <w:spacing w:line="276" w:lineRule="auto"/>
              <w:contextualSpacing/>
              <w:jc w:val="both"/>
              <w:rPr>
                <w:color w:val="000000" w:themeColor="text1"/>
              </w:rPr>
            </w:pPr>
          </w:p>
        </w:tc>
        <w:tc>
          <w:tcPr>
            <w:tcW w:w="1056" w:type="dxa"/>
          </w:tcPr>
          <w:p w14:paraId="3DAC8E79" w14:textId="77777777" w:rsidR="00C64C95" w:rsidRPr="004A782C" w:rsidRDefault="00C64C95" w:rsidP="00B27EBA">
            <w:pPr>
              <w:spacing w:line="276" w:lineRule="auto"/>
              <w:contextualSpacing/>
              <w:jc w:val="both"/>
              <w:rPr>
                <w:color w:val="000000" w:themeColor="text1"/>
              </w:rPr>
            </w:pPr>
          </w:p>
        </w:tc>
        <w:tc>
          <w:tcPr>
            <w:tcW w:w="2306" w:type="dxa"/>
            <w:gridSpan w:val="3"/>
          </w:tcPr>
          <w:p w14:paraId="1FE28C1B" w14:textId="77777777" w:rsidR="00C64C95" w:rsidRPr="004A782C" w:rsidRDefault="00C64C95" w:rsidP="00B27EBA">
            <w:pPr>
              <w:spacing w:line="276" w:lineRule="auto"/>
              <w:contextualSpacing/>
              <w:jc w:val="both"/>
              <w:rPr>
                <w:color w:val="000000" w:themeColor="text1"/>
              </w:rPr>
            </w:pPr>
          </w:p>
        </w:tc>
      </w:tr>
      <w:tr w:rsidR="00C64C95" w:rsidRPr="004A782C" w14:paraId="29D3F128" w14:textId="77777777" w:rsidTr="00496B7B">
        <w:trPr>
          <w:trHeight w:val="315"/>
        </w:trPr>
        <w:tc>
          <w:tcPr>
            <w:tcW w:w="1851" w:type="dxa"/>
            <w:noWrap/>
            <w:hideMark/>
          </w:tcPr>
          <w:p w14:paraId="2AA9325B" w14:textId="77777777" w:rsidR="00C64C95" w:rsidRPr="004A782C" w:rsidRDefault="00C64C95" w:rsidP="00B27EBA">
            <w:pPr>
              <w:spacing w:line="276" w:lineRule="auto"/>
              <w:contextualSpacing/>
              <w:jc w:val="both"/>
              <w:rPr>
                <w:color w:val="000000" w:themeColor="text1"/>
              </w:rPr>
            </w:pPr>
            <w:r w:rsidRPr="004A782C">
              <w:rPr>
                <w:color w:val="000000" w:themeColor="text1"/>
              </w:rPr>
              <w:t>Brahmin/</w:t>
            </w:r>
            <w:proofErr w:type="spellStart"/>
            <w:r w:rsidRPr="004A782C">
              <w:rPr>
                <w:color w:val="000000" w:themeColor="text1"/>
              </w:rPr>
              <w:t>Kshetri</w:t>
            </w:r>
            <w:proofErr w:type="spellEnd"/>
          </w:p>
        </w:tc>
        <w:tc>
          <w:tcPr>
            <w:tcW w:w="1274" w:type="dxa"/>
            <w:noWrap/>
            <w:vAlign w:val="center"/>
            <w:hideMark/>
          </w:tcPr>
          <w:p w14:paraId="37FDA52D" w14:textId="77777777" w:rsidR="00C64C95" w:rsidRPr="004A782C" w:rsidRDefault="00C64C95" w:rsidP="00B27EBA">
            <w:pPr>
              <w:spacing w:line="276" w:lineRule="auto"/>
              <w:contextualSpacing/>
              <w:jc w:val="both"/>
              <w:rPr>
                <w:color w:val="000000" w:themeColor="text1"/>
              </w:rPr>
            </w:pPr>
            <w:r w:rsidRPr="004A782C">
              <w:rPr>
                <w:color w:val="000000"/>
              </w:rPr>
              <w:t>3.65</w:t>
            </w:r>
          </w:p>
        </w:tc>
        <w:tc>
          <w:tcPr>
            <w:tcW w:w="1274" w:type="dxa"/>
            <w:noWrap/>
            <w:vAlign w:val="center"/>
            <w:hideMark/>
          </w:tcPr>
          <w:p w14:paraId="18B67A34" w14:textId="77777777" w:rsidR="00C64C95" w:rsidRPr="004A782C" w:rsidRDefault="00C64C95" w:rsidP="00B27EBA">
            <w:pPr>
              <w:spacing w:line="276" w:lineRule="auto"/>
              <w:contextualSpacing/>
              <w:jc w:val="both"/>
              <w:rPr>
                <w:color w:val="000000" w:themeColor="text1"/>
              </w:rPr>
            </w:pPr>
            <w:r w:rsidRPr="004A782C">
              <w:rPr>
                <w:color w:val="000000"/>
              </w:rPr>
              <w:t>3.78</w:t>
            </w:r>
          </w:p>
        </w:tc>
        <w:tc>
          <w:tcPr>
            <w:tcW w:w="1157" w:type="dxa"/>
            <w:vAlign w:val="center"/>
          </w:tcPr>
          <w:p w14:paraId="2B7AE1FA" w14:textId="77777777" w:rsidR="00C64C95" w:rsidRPr="004A782C" w:rsidRDefault="00C64C95" w:rsidP="00B27EBA">
            <w:pPr>
              <w:spacing w:line="276" w:lineRule="auto"/>
              <w:contextualSpacing/>
              <w:jc w:val="both"/>
              <w:rPr>
                <w:color w:val="000000" w:themeColor="text1"/>
              </w:rPr>
            </w:pPr>
            <w:r w:rsidRPr="004A782C">
              <w:rPr>
                <w:color w:val="000000"/>
              </w:rPr>
              <w:t>1.42</w:t>
            </w:r>
          </w:p>
        </w:tc>
        <w:tc>
          <w:tcPr>
            <w:tcW w:w="1056" w:type="dxa"/>
            <w:vAlign w:val="center"/>
          </w:tcPr>
          <w:p w14:paraId="243BF96E" w14:textId="77777777" w:rsidR="00C64C95" w:rsidRPr="004A782C" w:rsidRDefault="00C64C95" w:rsidP="00B27EBA">
            <w:pPr>
              <w:spacing w:line="276" w:lineRule="auto"/>
              <w:contextualSpacing/>
              <w:jc w:val="both"/>
              <w:rPr>
                <w:color w:val="000000" w:themeColor="text1"/>
              </w:rPr>
            </w:pPr>
            <w:r w:rsidRPr="004A782C">
              <w:rPr>
                <w:color w:val="000000"/>
              </w:rPr>
              <w:t>3</w:t>
            </w:r>
          </w:p>
        </w:tc>
        <w:tc>
          <w:tcPr>
            <w:tcW w:w="922" w:type="dxa"/>
            <w:vAlign w:val="center"/>
          </w:tcPr>
          <w:p w14:paraId="2BDCC0FC" w14:textId="77777777" w:rsidR="00C64C95" w:rsidRPr="004A782C" w:rsidRDefault="00C64C95" w:rsidP="00B27EBA">
            <w:pPr>
              <w:spacing w:line="276" w:lineRule="auto"/>
              <w:contextualSpacing/>
              <w:jc w:val="both"/>
              <w:rPr>
                <w:color w:val="000000" w:themeColor="text1"/>
              </w:rPr>
            </w:pPr>
            <w:r w:rsidRPr="004A782C">
              <w:rPr>
                <w:color w:val="000000"/>
              </w:rPr>
              <w:t>340</w:t>
            </w:r>
          </w:p>
        </w:tc>
        <w:tc>
          <w:tcPr>
            <w:tcW w:w="1384" w:type="dxa"/>
            <w:gridSpan w:val="2"/>
            <w:vAlign w:val="center"/>
          </w:tcPr>
          <w:p w14:paraId="4EE45D16" w14:textId="77777777" w:rsidR="00C64C95" w:rsidRPr="004A782C" w:rsidRDefault="00C64C95" w:rsidP="00B27EBA">
            <w:pPr>
              <w:spacing w:line="276" w:lineRule="auto"/>
              <w:contextualSpacing/>
              <w:jc w:val="both"/>
              <w:rPr>
                <w:color w:val="000000" w:themeColor="text1"/>
              </w:rPr>
            </w:pPr>
            <w:r w:rsidRPr="004A782C">
              <w:rPr>
                <w:color w:val="000000"/>
              </w:rPr>
              <w:t>0.237</w:t>
            </w:r>
          </w:p>
        </w:tc>
      </w:tr>
      <w:tr w:rsidR="00C64C95" w:rsidRPr="004A782C" w14:paraId="29F94447" w14:textId="77777777" w:rsidTr="00496B7B">
        <w:trPr>
          <w:trHeight w:val="300"/>
        </w:trPr>
        <w:tc>
          <w:tcPr>
            <w:tcW w:w="1851" w:type="dxa"/>
            <w:noWrap/>
            <w:hideMark/>
          </w:tcPr>
          <w:p w14:paraId="42D74F0B"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Janajaati</w:t>
            </w:r>
            <w:proofErr w:type="spellEnd"/>
          </w:p>
        </w:tc>
        <w:tc>
          <w:tcPr>
            <w:tcW w:w="1274" w:type="dxa"/>
            <w:noWrap/>
            <w:vAlign w:val="center"/>
            <w:hideMark/>
          </w:tcPr>
          <w:p w14:paraId="590025B9" w14:textId="77777777" w:rsidR="00C64C95" w:rsidRPr="004A782C" w:rsidRDefault="00C64C95" w:rsidP="00B27EBA">
            <w:pPr>
              <w:spacing w:line="276" w:lineRule="auto"/>
              <w:contextualSpacing/>
              <w:jc w:val="both"/>
              <w:rPr>
                <w:color w:val="000000" w:themeColor="text1"/>
              </w:rPr>
            </w:pPr>
            <w:r w:rsidRPr="004A782C">
              <w:rPr>
                <w:color w:val="000000"/>
              </w:rPr>
              <w:t>4.95</w:t>
            </w:r>
          </w:p>
        </w:tc>
        <w:tc>
          <w:tcPr>
            <w:tcW w:w="1274" w:type="dxa"/>
            <w:noWrap/>
            <w:vAlign w:val="center"/>
            <w:hideMark/>
          </w:tcPr>
          <w:p w14:paraId="75B4040B" w14:textId="77777777" w:rsidR="00C64C95" w:rsidRPr="004A782C" w:rsidRDefault="00C64C95" w:rsidP="00B27EBA">
            <w:pPr>
              <w:spacing w:line="276" w:lineRule="auto"/>
              <w:contextualSpacing/>
              <w:jc w:val="both"/>
              <w:rPr>
                <w:color w:val="000000" w:themeColor="text1"/>
              </w:rPr>
            </w:pPr>
            <w:r w:rsidRPr="004A782C">
              <w:rPr>
                <w:color w:val="000000"/>
              </w:rPr>
              <w:t>3.93</w:t>
            </w:r>
          </w:p>
        </w:tc>
        <w:tc>
          <w:tcPr>
            <w:tcW w:w="1157" w:type="dxa"/>
            <w:vAlign w:val="bottom"/>
          </w:tcPr>
          <w:p w14:paraId="160C1209"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681C9672"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BC46F94" w14:textId="77777777" w:rsidR="00C64C95" w:rsidRPr="004A782C" w:rsidRDefault="00C64C95" w:rsidP="00B27EBA">
            <w:pPr>
              <w:spacing w:line="276" w:lineRule="auto"/>
              <w:contextualSpacing/>
              <w:jc w:val="both"/>
              <w:rPr>
                <w:color w:val="000000" w:themeColor="text1"/>
              </w:rPr>
            </w:pPr>
          </w:p>
        </w:tc>
      </w:tr>
      <w:tr w:rsidR="00C64C95" w:rsidRPr="004A782C" w14:paraId="7E9B2609" w14:textId="77777777" w:rsidTr="00496B7B">
        <w:trPr>
          <w:trHeight w:val="315"/>
        </w:trPr>
        <w:tc>
          <w:tcPr>
            <w:tcW w:w="1851" w:type="dxa"/>
            <w:noWrap/>
            <w:hideMark/>
          </w:tcPr>
          <w:p w14:paraId="5ABD2485"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Newar</w:t>
            </w:r>
            <w:proofErr w:type="spellEnd"/>
          </w:p>
        </w:tc>
        <w:tc>
          <w:tcPr>
            <w:tcW w:w="1274" w:type="dxa"/>
            <w:noWrap/>
            <w:vAlign w:val="center"/>
            <w:hideMark/>
          </w:tcPr>
          <w:p w14:paraId="252EDC28" w14:textId="77777777" w:rsidR="00C64C95" w:rsidRPr="004A782C" w:rsidRDefault="00C64C95" w:rsidP="00B27EBA">
            <w:pPr>
              <w:spacing w:line="276" w:lineRule="auto"/>
              <w:contextualSpacing/>
              <w:jc w:val="both"/>
              <w:rPr>
                <w:color w:val="000000" w:themeColor="text1"/>
              </w:rPr>
            </w:pPr>
            <w:r w:rsidRPr="004A782C">
              <w:rPr>
                <w:color w:val="000000"/>
              </w:rPr>
              <w:t>3.81</w:t>
            </w:r>
          </w:p>
        </w:tc>
        <w:tc>
          <w:tcPr>
            <w:tcW w:w="1274" w:type="dxa"/>
            <w:noWrap/>
            <w:vAlign w:val="center"/>
            <w:hideMark/>
          </w:tcPr>
          <w:p w14:paraId="11C0BC35" w14:textId="77777777" w:rsidR="00C64C95" w:rsidRPr="004A782C" w:rsidRDefault="00C64C95" w:rsidP="00B27EBA">
            <w:pPr>
              <w:spacing w:line="276" w:lineRule="auto"/>
              <w:contextualSpacing/>
              <w:jc w:val="both"/>
              <w:rPr>
                <w:color w:val="000000" w:themeColor="text1"/>
              </w:rPr>
            </w:pPr>
            <w:r w:rsidRPr="004A782C">
              <w:rPr>
                <w:color w:val="000000"/>
              </w:rPr>
              <w:t>3.09</w:t>
            </w:r>
          </w:p>
        </w:tc>
        <w:tc>
          <w:tcPr>
            <w:tcW w:w="1157" w:type="dxa"/>
            <w:vAlign w:val="bottom"/>
          </w:tcPr>
          <w:p w14:paraId="2A00F048"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010EC863"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F2A235B" w14:textId="77777777" w:rsidR="00C64C95" w:rsidRPr="004A782C" w:rsidRDefault="00C64C95" w:rsidP="00B27EBA">
            <w:pPr>
              <w:spacing w:line="276" w:lineRule="auto"/>
              <w:contextualSpacing/>
              <w:jc w:val="both"/>
              <w:rPr>
                <w:color w:val="000000" w:themeColor="text1"/>
              </w:rPr>
            </w:pPr>
          </w:p>
        </w:tc>
      </w:tr>
      <w:tr w:rsidR="00C64C95" w:rsidRPr="004A782C" w14:paraId="65E60E91" w14:textId="77777777" w:rsidTr="00496B7B">
        <w:trPr>
          <w:trHeight w:val="300"/>
        </w:trPr>
        <w:tc>
          <w:tcPr>
            <w:tcW w:w="1851" w:type="dxa"/>
            <w:noWrap/>
            <w:hideMark/>
          </w:tcPr>
          <w:p w14:paraId="210F13A8" w14:textId="77777777" w:rsidR="00C64C95" w:rsidRPr="004A782C" w:rsidRDefault="00C64C95" w:rsidP="00B27EBA">
            <w:pPr>
              <w:spacing w:line="276" w:lineRule="auto"/>
              <w:contextualSpacing/>
              <w:jc w:val="both"/>
              <w:rPr>
                <w:color w:val="000000" w:themeColor="text1"/>
              </w:rPr>
            </w:pPr>
            <w:r w:rsidRPr="004A782C">
              <w:rPr>
                <w:color w:val="000000" w:themeColor="text1"/>
              </w:rPr>
              <w:t>Others</w:t>
            </w:r>
          </w:p>
        </w:tc>
        <w:tc>
          <w:tcPr>
            <w:tcW w:w="1274" w:type="dxa"/>
            <w:noWrap/>
            <w:vAlign w:val="center"/>
            <w:hideMark/>
          </w:tcPr>
          <w:p w14:paraId="5A71D0F2" w14:textId="77777777" w:rsidR="00C64C95" w:rsidRPr="004A782C" w:rsidRDefault="00C64C95" w:rsidP="00B27EBA">
            <w:pPr>
              <w:spacing w:line="276" w:lineRule="auto"/>
              <w:contextualSpacing/>
              <w:jc w:val="both"/>
              <w:rPr>
                <w:color w:val="000000" w:themeColor="text1"/>
              </w:rPr>
            </w:pPr>
            <w:r w:rsidRPr="004A782C">
              <w:rPr>
                <w:color w:val="000000"/>
              </w:rPr>
              <w:t>3.45</w:t>
            </w:r>
          </w:p>
        </w:tc>
        <w:tc>
          <w:tcPr>
            <w:tcW w:w="1274" w:type="dxa"/>
            <w:noWrap/>
            <w:vAlign w:val="center"/>
            <w:hideMark/>
          </w:tcPr>
          <w:p w14:paraId="5B69C79A" w14:textId="77777777" w:rsidR="00C64C95" w:rsidRPr="004A782C" w:rsidRDefault="00C64C95" w:rsidP="00B27EBA">
            <w:pPr>
              <w:spacing w:line="276" w:lineRule="auto"/>
              <w:contextualSpacing/>
              <w:jc w:val="both"/>
              <w:rPr>
                <w:color w:val="000000" w:themeColor="text1"/>
              </w:rPr>
            </w:pPr>
            <w:r w:rsidRPr="004A782C">
              <w:rPr>
                <w:color w:val="000000"/>
              </w:rPr>
              <w:t>3.25</w:t>
            </w:r>
          </w:p>
        </w:tc>
        <w:tc>
          <w:tcPr>
            <w:tcW w:w="1157" w:type="dxa"/>
            <w:vAlign w:val="bottom"/>
          </w:tcPr>
          <w:p w14:paraId="041B4A2C"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25F92AB1"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62E77E53" w14:textId="77777777" w:rsidR="00C64C95" w:rsidRPr="004A782C" w:rsidRDefault="00C64C95" w:rsidP="00B27EBA">
            <w:pPr>
              <w:spacing w:line="276" w:lineRule="auto"/>
              <w:contextualSpacing/>
              <w:jc w:val="both"/>
              <w:rPr>
                <w:color w:val="000000" w:themeColor="text1"/>
              </w:rPr>
            </w:pPr>
          </w:p>
        </w:tc>
      </w:tr>
      <w:tr w:rsidR="00C64C95" w:rsidRPr="004A782C" w14:paraId="4F9509B4" w14:textId="77777777" w:rsidTr="00496B7B">
        <w:trPr>
          <w:trHeight w:val="315"/>
        </w:trPr>
        <w:tc>
          <w:tcPr>
            <w:tcW w:w="1851" w:type="dxa"/>
            <w:noWrap/>
            <w:hideMark/>
          </w:tcPr>
          <w:p w14:paraId="45C9B767"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RS1 </w:t>
            </w:r>
            <w:r w:rsidRPr="004A782C">
              <w:rPr>
                <w:rFonts w:eastAsia="Times New Roman"/>
                <w:color w:val="000000" w:themeColor="text1"/>
                <w:lang w:bidi="ne-NP"/>
              </w:rPr>
              <w:t>Factor</w:t>
            </w:r>
          </w:p>
        </w:tc>
        <w:tc>
          <w:tcPr>
            <w:tcW w:w="1274" w:type="dxa"/>
            <w:noWrap/>
            <w:vAlign w:val="bottom"/>
            <w:hideMark/>
          </w:tcPr>
          <w:p w14:paraId="668DC561" w14:textId="77777777" w:rsidR="00C64C95" w:rsidRPr="004A782C" w:rsidRDefault="00C64C95" w:rsidP="00B27EBA">
            <w:pPr>
              <w:spacing w:line="276" w:lineRule="auto"/>
              <w:contextualSpacing/>
              <w:jc w:val="both"/>
              <w:rPr>
                <w:color w:val="000000" w:themeColor="text1"/>
              </w:rPr>
            </w:pPr>
          </w:p>
        </w:tc>
        <w:tc>
          <w:tcPr>
            <w:tcW w:w="1274" w:type="dxa"/>
            <w:noWrap/>
            <w:vAlign w:val="bottom"/>
            <w:hideMark/>
          </w:tcPr>
          <w:p w14:paraId="67DA07B5" w14:textId="77777777" w:rsidR="00C64C95" w:rsidRPr="004A782C" w:rsidRDefault="00C64C95" w:rsidP="00B27EBA">
            <w:pPr>
              <w:spacing w:line="276" w:lineRule="auto"/>
              <w:contextualSpacing/>
              <w:jc w:val="both"/>
              <w:rPr>
                <w:color w:val="000000" w:themeColor="text1"/>
              </w:rPr>
            </w:pPr>
          </w:p>
        </w:tc>
        <w:tc>
          <w:tcPr>
            <w:tcW w:w="1157" w:type="dxa"/>
            <w:vAlign w:val="bottom"/>
          </w:tcPr>
          <w:p w14:paraId="3266930E" w14:textId="77777777" w:rsidR="00C64C95" w:rsidRPr="004A782C" w:rsidRDefault="00C64C95" w:rsidP="00B27EBA">
            <w:pPr>
              <w:spacing w:line="276" w:lineRule="auto"/>
              <w:contextualSpacing/>
              <w:jc w:val="both"/>
              <w:rPr>
                <w:color w:val="000000" w:themeColor="text1"/>
              </w:rPr>
            </w:pPr>
          </w:p>
        </w:tc>
        <w:tc>
          <w:tcPr>
            <w:tcW w:w="1056" w:type="dxa"/>
          </w:tcPr>
          <w:p w14:paraId="242453EF" w14:textId="77777777" w:rsidR="00C64C95" w:rsidRPr="004A782C" w:rsidRDefault="00C64C95" w:rsidP="00B27EBA">
            <w:pPr>
              <w:spacing w:line="276" w:lineRule="auto"/>
              <w:contextualSpacing/>
              <w:jc w:val="both"/>
              <w:rPr>
                <w:color w:val="000000" w:themeColor="text1"/>
              </w:rPr>
            </w:pPr>
          </w:p>
        </w:tc>
        <w:tc>
          <w:tcPr>
            <w:tcW w:w="2306" w:type="dxa"/>
            <w:gridSpan w:val="3"/>
          </w:tcPr>
          <w:p w14:paraId="20B4B51E" w14:textId="77777777" w:rsidR="00C64C95" w:rsidRPr="004A782C" w:rsidRDefault="00C64C95" w:rsidP="00B27EBA">
            <w:pPr>
              <w:spacing w:line="276" w:lineRule="auto"/>
              <w:contextualSpacing/>
              <w:jc w:val="both"/>
              <w:rPr>
                <w:color w:val="000000" w:themeColor="text1"/>
              </w:rPr>
            </w:pPr>
          </w:p>
        </w:tc>
      </w:tr>
      <w:tr w:rsidR="00C64C95" w:rsidRPr="004A782C" w14:paraId="4097336C" w14:textId="77777777" w:rsidTr="00496B7B">
        <w:trPr>
          <w:trHeight w:val="300"/>
        </w:trPr>
        <w:tc>
          <w:tcPr>
            <w:tcW w:w="1851" w:type="dxa"/>
            <w:noWrap/>
            <w:hideMark/>
          </w:tcPr>
          <w:p w14:paraId="23A21503" w14:textId="77777777" w:rsidR="00C64C95" w:rsidRPr="004A782C" w:rsidRDefault="00C64C95" w:rsidP="00B27EBA">
            <w:pPr>
              <w:spacing w:line="276" w:lineRule="auto"/>
              <w:contextualSpacing/>
              <w:jc w:val="both"/>
              <w:rPr>
                <w:color w:val="000000" w:themeColor="text1"/>
              </w:rPr>
            </w:pPr>
            <w:r w:rsidRPr="004A782C">
              <w:rPr>
                <w:color w:val="000000" w:themeColor="text1"/>
              </w:rPr>
              <w:t>Brahmin/</w:t>
            </w:r>
            <w:proofErr w:type="spellStart"/>
            <w:r w:rsidRPr="004A782C">
              <w:rPr>
                <w:color w:val="000000" w:themeColor="text1"/>
              </w:rPr>
              <w:t>Kshetri</w:t>
            </w:r>
            <w:proofErr w:type="spellEnd"/>
          </w:p>
        </w:tc>
        <w:tc>
          <w:tcPr>
            <w:tcW w:w="1274" w:type="dxa"/>
            <w:noWrap/>
            <w:vAlign w:val="center"/>
            <w:hideMark/>
          </w:tcPr>
          <w:p w14:paraId="1C0CC6AB" w14:textId="77777777" w:rsidR="00C64C95" w:rsidRPr="004A782C" w:rsidRDefault="00C64C95" w:rsidP="00B27EBA">
            <w:pPr>
              <w:spacing w:line="276" w:lineRule="auto"/>
              <w:contextualSpacing/>
              <w:jc w:val="both"/>
              <w:rPr>
                <w:color w:val="000000" w:themeColor="text1"/>
              </w:rPr>
            </w:pPr>
            <w:r w:rsidRPr="004A782C">
              <w:rPr>
                <w:color w:val="000000"/>
              </w:rPr>
              <w:t>7.89</w:t>
            </w:r>
          </w:p>
        </w:tc>
        <w:tc>
          <w:tcPr>
            <w:tcW w:w="1274" w:type="dxa"/>
            <w:noWrap/>
            <w:vAlign w:val="center"/>
            <w:hideMark/>
          </w:tcPr>
          <w:p w14:paraId="312E58E7" w14:textId="77777777" w:rsidR="00C64C95" w:rsidRPr="004A782C" w:rsidRDefault="00C64C95" w:rsidP="00B27EBA">
            <w:pPr>
              <w:spacing w:line="276" w:lineRule="auto"/>
              <w:contextualSpacing/>
              <w:jc w:val="both"/>
              <w:rPr>
                <w:color w:val="000000" w:themeColor="text1"/>
              </w:rPr>
            </w:pPr>
            <w:r w:rsidRPr="004A782C">
              <w:rPr>
                <w:color w:val="000000"/>
              </w:rPr>
              <w:t>5.46</w:t>
            </w:r>
          </w:p>
        </w:tc>
        <w:tc>
          <w:tcPr>
            <w:tcW w:w="1157" w:type="dxa"/>
            <w:vAlign w:val="center"/>
          </w:tcPr>
          <w:p w14:paraId="5A155408" w14:textId="77777777" w:rsidR="00C64C95" w:rsidRPr="004A782C" w:rsidRDefault="00C64C95" w:rsidP="00B27EBA">
            <w:pPr>
              <w:spacing w:line="276" w:lineRule="auto"/>
              <w:contextualSpacing/>
              <w:jc w:val="both"/>
              <w:rPr>
                <w:color w:val="000000" w:themeColor="text1"/>
              </w:rPr>
            </w:pPr>
            <w:r w:rsidRPr="004A782C">
              <w:rPr>
                <w:color w:val="000000"/>
              </w:rPr>
              <w:t>0.33</w:t>
            </w:r>
          </w:p>
        </w:tc>
        <w:tc>
          <w:tcPr>
            <w:tcW w:w="1056" w:type="dxa"/>
            <w:vAlign w:val="center"/>
          </w:tcPr>
          <w:p w14:paraId="7F45A6FF" w14:textId="77777777" w:rsidR="00C64C95" w:rsidRPr="004A782C" w:rsidRDefault="00C64C95" w:rsidP="00B27EBA">
            <w:pPr>
              <w:spacing w:line="276" w:lineRule="auto"/>
              <w:contextualSpacing/>
              <w:jc w:val="both"/>
              <w:rPr>
                <w:color w:val="000000" w:themeColor="text1"/>
              </w:rPr>
            </w:pPr>
            <w:r w:rsidRPr="004A782C">
              <w:rPr>
                <w:color w:val="000000"/>
              </w:rPr>
              <w:t>3</w:t>
            </w:r>
          </w:p>
        </w:tc>
        <w:tc>
          <w:tcPr>
            <w:tcW w:w="922" w:type="dxa"/>
            <w:vAlign w:val="center"/>
          </w:tcPr>
          <w:p w14:paraId="2E247AA6" w14:textId="77777777" w:rsidR="00C64C95" w:rsidRPr="004A782C" w:rsidRDefault="00C64C95" w:rsidP="00B27EBA">
            <w:pPr>
              <w:spacing w:line="276" w:lineRule="auto"/>
              <w:contextualSpacing/>
              <w:jc w:val="both"/>
              <w:rPr>
                <w:color w:val="000000" w:themeColor="text1"/>
              </w:rPr>
            </w:pPr>
            <w:r w:rsidRPr="004A782C">
              <w:rPr>
                <w:color w:val="000000"/>
              </w:rPr>
              <w:t>340</w:t>
            </w:r>
          </w:p>
        </w:tc>
        <w:tc>
          <w:tcPr>
            <w:tcW w:w="1384" w:type="dxa"/>
            <w:gridSpan w:val="2"/>
            <w:vAlign w:val="center"/>
          </w:tcPr>
          <w:p w14:paraId="48820F71" w14:textId="77777777" w:rsidR="00C64C95" w:rsidRPr="004A782C" w:rsidRDefault="00C64C95" w:rsidP="00B27EBA">
            <w:pPr>
              <w:spacing w:line="276" w:lineRule="auto"/>
              <w:contextualSpacing/>
              <w:jc w:val="both"/>
              <w:rPr>
                <w:color w:val="000000" w:themeColor="text1"/>
              </w:rPr>
            </w:pPr>
            <w:r w:rsidRPr="004A782C">
              <w:rPr>
                <w:color w:val="000000"/>
              </w:rPr>
              <w:t>0.803</w:t>
            </w:r>
          </w:p>
        </w:tc>
      </w:tr>
      <w:tr w:rsidR="00C64C95" w:rsidRPr="004A782C" w14:paraId="25E81ECD" w14:textId="77777777" w:rsidTr="00496B7B">
        <w:trPr>
          <w:trHeight w:val="300"/>
        </w:trPr>
        <w:tc>
          <w:tcPr>
            <w:tcW w:w="1851" w:type="dxa"/>
            <w:noWrap/>
            <w:hideMark/>
          </w:tcPr>
          <w:p w14:paraId="039C9A1E"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Janajaati</w:t>
            </w:r>
            <w:proofErr w:type="spellEnd"/>
          </w:p>
        </w:tc>
        <w:tc>
          <w:tcPr>
            <w:tcW w:w="1274" w:type="dxa"/>
            <w:noWrap/>
            <w:vAlign w:val="center"/>
            <w:hideMark/>
          </w:tcPr>
          <w:p w14:paraId="29D1293F" w14:textId="77777777" w:rsidR="00C64C95" w:rsidRPr="004A782C" w:rsidRDefault="00C64C95" w:rsidP="00B27EBA">
            <w:pPr>
              <w:spacing w:line="276" w:lineRule="auto"/>
              <w:contextualSpacing/>
              <w:jc w:val="both"/>
              <w:rPr>
                <w:color w:val="000000" w:themeColor="text1"/>
              </w:rPr>
            </w:pPr>
            <w:r w:rsidRPr="004A782C">
              <w:rPr>
                <w:color w:val="000000"/>
              </w:rPr>
              <w:t>8.60</w:t>
            </w:r>
          </w:p>
        </w:tc>
        <w:tc>
          <w:tcPr>
            <w:tcW w:w="1274" w:type="dxa"/>
            <w:noWrap/>
            <w:vAlign w:val="center"/>
            <w:hideMark/>
          </w:tcPr>
          <w:p w14:paraId="58282024" w14:textId="77777777" w:rsidR="00C64C95" w:rsidRPr="004A782C" w:rsidRDefault="00C64C95" w:rsidP="00B27EBA">
            <w:pPr>
              <w:spacing w:line="276" w:lineRule="auto"/>
              <w:contextualSpacing/>
              <w:jc w:val="both"/>
              <w:rPr>
                <w:color w:val="000000" w:themeColor="text1"/>
              </w:rPr>
            </w:pPr>
            <w:r w:rsidRPr="004A782C">
              <w:rPr>
                <w:color w:val="000000"/>
              </w:rPr>
              <w:t>4.30</w:t>
            </w:r>
          </w:p>
        </w:tc>
        <w:tc>
          <w:tcPr>
            <w:tcW w:w="1157" w:type="dxa"/>
            <w:vAlign w:val="bottom"/>
          </w:tcPr>
          <w:p w14:paraId="1665DF25"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5D2E4EA7"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548C500E" w14:textId="77777777" w:rsidR="00C64C95" w:rsidRPr="004A782C" w:rsidRDefault="00C64C95" w:rsidP="00B27EBA">
            <w:pPr>
              <w:spacing w:line="276" w:lineRule="auto"/>
              <w:contextualSpacing/>
              <w:jc w:val="both"/>
              <w:rPr>
                <w:color w:val="000000" w:themeColor="text1"/>
              </w:rPr>
            </w:pPr>
          </w:p>
        </w:tc>
      </w:tr>
      <w:tr w:rsidR="00C64C95" w:rsidRPr="004A782C" w14:paraId="0D26D53F" w14:textId="77777777" w:rsidTr="00496B7B">
        <w:trPr>
          <w:trHeight w:val="300"/>
        </w:trPr>
        <w:tc>
          <w:tcPr>
            <w:tcW w:w="1851" w:type="dxa"/>
            <w:noWrap/>
            <w:hideMark/>
          </w:tcPr>
          <w:p w14:paraId="54F25FA9"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Newar</w:t>
            </w:r>
            <w:proofErr w:type="spellEnd"/>
          </w:p>
        </w:tc>
        <w:tc>
          <w:tcPr>
            <w:tcW w:w="1274" w:type="dxa"/>
            <w:noWrap/>
            <w:vAlign w:val="center"/>
            <w:hideMark/>
          </w:tcPr>
          <w:p w14:paraId="714CB148" w14:textId="77777777" w:rsidR="00C64C95" w:rsidRPr="004A782C" w:rsidRDefault="00C64C95" w:rsidP="00B27EBA">
            <w:pPr>
              <w:spacing w:line="276" w:lineRule="auto"/>
              <w:contextualSpacing/>
              <w:jc w:val="both"/>
              <w:rPr>
                <w:color w:val="000000" w:themeColor="text1"/>
              </w:rPr>
            </w:pPr>
            <w:r w:rsidRPr="004A782C">
              <w:rPr>
                <w:color w:val="000000"/>
              </w:rPr>
              <w:t>7.32</w:t>
            </w:r>
          </w:p>
        </w:tc>
        <w:tc>
          <w:tcPr>
            <w:tcW w:w="1274" w:type="dxa"/>
            <w:noWrap/>
            <w:vAlign w:val="center"/>
            <w:hideMark/>
          </w:tcPr>
          <w:p w14:paraId="2639FDA9" w14:textId="77777777" w:rsidR="00C64C95" w:rsidRPr="004A782C" w:rsidRDefault="00C64C95" w:rsidP="00B27EBA">
            <w:pPr>
              <w:spacing w:line="276" w:lineRule="auto"/>
              <w:contextualSpacing/>
              <w:jc w:val="both"/>
              <w:rPr>
                <w:color w:val="000000" w:themeColor="text1"/>
              </w:rPr>
            </w:pPr>
            <w:r w:rsidRPr="004A782C">
              <w:rPr>
                <w:color w:val="000000"/>
              </w:rPr>
              <w:t>4.72</w:t>
            </w:r>
          </w:p>
        </w:tc>
        <w:tc>
          <w:tcPr>
            <w:tcW w:w="1157" w:type="dxa"/>
            <w:vAlign w:val="bottom"/>
          </w:tcPr>
          <w:p w14:paraId="19C50275"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35FBEF9D"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1D241ADA" w14:textId="77777777" w:rsidR="00C64C95" w:rsidRPr="004A782C" w:rsidRDefault="00C64C95" w:rsidP="00B27EBA">
            <w:pPr>
              <w:spacing w:line="276" w:lineRule="auto"/>
              <w:contextualSpacing/>
              <w:jc w:val="both"/>
              <w:rPr>
                <w:color w:val="000000" w:themeColor="text1"/>
              </w:rPr>
            </w:pPr>
          </w:p>
        </w:tc>
      </w:tr>
      <w:tr w:rsidR="00C64C95" w:rsidRPr="004A782C" w14:paraId="2D4093D3" w14:textId="77777777" w:rsidTr="00496B7B">
        <w:trPr>
          <w:trHeight w:val="315"/>
        </w:trPr>
        <w:tc>
          <w:tcPr>
            <w:tcW w:w="1851" w:type="dxa"/>
            <w:noWrap/>
            <w:hideMark/>
          </w:tcPr>
          <w:p w14:paraId="25CF8045" w14:textId="77777777" w:rsidR="00C64C95" w:rsidRPr="004A782C" w:rsidRDefault="00C64C95" w:rsidP="00B27EBA">
            <w:pPr>
              <w:spacing w:line="276" w:lineRule="auto"/>
              <w:contextualSpacing/>
              <w:jc w:val="both"/>
              <w:rPr>
                <w:color w:val="000000" w:themeColor="text1"/>
              </w:rPr>
            </w:pPr>
            <w:r w:rsidRPr="004A782C">
              <w:rPr>
                <w:color w:val="000000" w:themeColor="text1"/>
              </w:rPr>
              <w:t>Others</w:t>
            </w:r>
          </w:p>
        </w:tc>
        <w:tc>
          <w:tcPr>
            <w:tcW w:w="1274" w:type="dxa"/>
            <w:noWrap/>
            <w:vAlign w:val="center"/>
            <w:hideMark/>
          </w:tcPr>
          <w:p w14:paraId="24789B41" w14:textId="77777777" w:rsidR="00C64C95" w:rsidRPr="004A782C" w:rsidRDefault="00C64C95" w:rsidP="00B27EBA">
            <w:pPr>
              <w:spacing w:line="276" w:lineRule="auto"/>
              <w:contextualSpacing/>
              <w:jc w:val="both"/>
              <w:rPr>
                <w:color w:val="000000" w:themeColor="text1"/>
              </w:rPr>
            </w:pPr>
            <w:r w:rsidRPr="004A782C">
              <w:rPr>
                <w:color w:val="000000"/>
              </w:rPr>
              <w:t>7.90</w:t>
            </w:r>
          </w:p>
        </w:tc>
        <w:tc>
          <w:tcPr>
            <w:tcW w:w="1274" w:type="dxa"/>
            <w:noWrap/>
            <w:vAlign w:val="center"/>
            <w:hideMark/>
          </w:tcPr>
          <w:p w14:paraId="41E8CB54" w14:textId="77777777" w:rsidR="00C64C95" w:rsidRPr="004A782C" w:rsidRDefault="00C64C95" w:rsidP="00B27EBA">
            <w:pPr>
              <w:spacing w:line="276" w:lineRule="auto"/>
              <w:contextualSpacing/>
              <w:jc w:val="both"/>
              <w:rPr>
                <w:color w:val="000000" w:themeColor="text1"/>
              </w:rPr>
            </w:pPr>
            <w:r w:rsidRPr="004A782C">
              <w:rPr>
                <w:color w:val="000000"/>
              </w:rPr>
              <w:t>5.77</w:t>
            </w:r>
          </w:p>
        </w:tc>
        <w:tc>
          <w:tcPr>
            <w:tcW w:w="1157" w:type="dxa"/>
            <w:vAlign w:val="bottom"/>
          </w:tcPr>
          <w:p w14:paraId="1ACD30A2"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4CCF6588"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4B76F277" w14:textId="77777777" w:rsidR="00C64C95" w:rsidRPr="004A782C" w:rsidRDefault="00C64C95" w:rsidP="00B27EBA">
            <w:pPr>
              <w:spacing w:line="276" w:lineRule="auto"/>
              <w:contextualSpacing/>
              <w:jc w:val="both"/>
              <w:rPr>
                <w:color w:val="000000" w:themeColor="text1"/>
              </w:rPr>
            </w:pPr>
          </w:p>
        </w:tc>
      </w:tr>
      <w:tr w:rsidR="00C64C95" w:rsidRPr="004A782C" w14:paraId="6AC8A1AC" w14:textId="77777777" w:rsidTr="00496B7B">
        <w:trPr>
          <w:trHeight w:val="315"/>
        </w:trPr>
        <w:tc>
          <w:tcPr>
            <w:tcW w:w="1851" w:type="dxa"/>
            <w:noWrap/>
            <w:hideMark/>
          </w:tcPr>
          <w:p w14:paraId="2173E244"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RS2 </w:t>
            </w:r>
            <w:r w:rsidRPr="004A782C">
              <w:rPr>
                <w:rFonts w:eastAsia="Times New Roman"/>
                <w:color w:val="000000" w:themeColor="text1"/>
                <w:lang w:bidi="ne-NP"/>
              </w:rPr>
              <w:t>Factor</w:t>
            </w:r>
          </w:p>
        </w:tc>
        <w:tc>
          <w:tcPr>
            <w:tcW w:w="1274" w:type="dxa"/>
            <w:noWrap/>
            <w:vAlign w:val="bottom"/>
            <w:hideMark/>
          </w:tcPr>
          <w:p w14:paraId="75BC11A8" w14:textId="77777777" w:rsidR="00C64C95" w:rsidRPr="004A782C" w:rsidRDefault="00C64C95" w:rsidP="00B27EBA">
            <w:pPr>
              <w:spacing w:line="276" w:lineRule="auto"/>
              <w:contextualSpacing/>
              <w:jc w:val="both"/>
              <w:rPr>
                <w:color w:val="000000" w:themeColor="text1"/>
              </w:rPr>
            </w:pPr>
          </w:p>
        </w:tc>
        <w:tc>
          <w:tcPr>
            <w:tcW w:w="1274" w:type="dxa"/>
            <w:noWrap/>
            <w:vAlign w:val="bottom"/>
            <w:hideMark/>
          </w:tcPr>
          <w:p w14:paraId="4AFE5AC2" w14:textId="77777777" w:rsidR="00C64C95" w:rsidRPr="004A782C" w:rsidRDefault="00C64C95" w:rsidP="00B27EBA">
            <w:pPr>
              <w:spacing w:line="276" w:lineRule="auto"/>
              <w:contextualSpacing/>
              <w:jc w:val="both"/>
              <w:rPr>
                <w:color w:val="000000" w:themeColor="text1"/>
              </w:rPr>
            </w:pPr>
          </w:p>
        </w:tc>
        <w:tc>
          <w:tcPr>
            <w:tcW w:w="1157" w:type="dxa"/>
            <w:vAlign w:val="bottom"/>
          </w:tcPr>
          <w:p w14:paraId="1AECA0B7" w14:textId="77777777" w:rsidR="00C64C95" w:rsidRPr="004A782C" w:rsidRDefault="00C64C95" w:rsidP="00B27EBA">
            <w:pPr>
              <w:spacing w:line="276" w:lineRule="auto"/>
              <w:contextualSpacing/>
              <w:jc w:val="both"/>
              <w:rPr>
                <w:color w:val="000000" w:themeColor="text1"/>
              </w:rPr>
            </w:pPr>
          </w:p>
        </w:tc>
        <w:tc>
          <w:tcPr>
            <w:tcW w:w="1056" w:type="dxa"/>
          </w:tcPr>
          <w:p w14:paraId="02DE56F7" w14:textId="77777777" w:rsidR="00C64C95" w:rsidRPr="004A782C" w:rsidRDefault="00C64C95" w:rsidP="00B27EBA">
            <w:pPr>
              <w:spacing w:line="276" w:lineRule="auto"/>
              <w:contextualSpacing/>
              <w:jc w:val="both"/>
              <w:rPr>
                <w:color w:val="000000" w:themeColor="text1"/>
              </w:rPr>
            </w:pPr>
          </w:p>
        </w:tc>
        <w:tc>
          <w:tcPr>
            <w:tcW w:w="2306" w:type="dxa"/>
            <w:gridSpan w:val="3"/>
          </w:tcPr>
          <w:p w14:paraId="26BAE3F9" w14:textId="77777777" w:rsidR="00C64C95" w:rsidRPr="004A782C" w:rsidRDefault="00C64C95" w:rsidP="00B27EBA">
            <w:pPr>
              <w:spacing w:line="276" w:lineRule="auto"/>
              <w:contextualSpacing/>
              <w:jc w:val="both"/>
              <w:rPr>
                <w:color w:val="000000" w:themeColor="text1"/>
              </w:rPr>
            </w:pPr>
          </w:p>
        </w:tc>
      </w:tr>
      <w:tr w:rsidR="00C64C95" w:rsidRPr="004A782C" w14:paraId="1CCF021E" w14:textId="77777777" w:rsidTr="00496B7B">
        <w:trPr>
          <w:trHeight w:val="300"/>
        </w:trPr>
        <w:tc>
          <w:tcPr>
            <w:tcW w:w="1851" w:type="dxa"/>
            <w:noWrap/>
            <w:hideMark/>
          </w:tcPr>
          <w:p w14:paraId="2DEF28A4" w14:textId="77777777" w:rsidR="00C64C95" w:rsidRPr="004A782C" w:rsidRDefault="00C64C95" w:rsidP="00B27EBA">
            <w:pPr>
              <w:spacing w:line="276" w:lineRule="auto"/>
              <w:contextualSpacing/>
              <w:jc w:val="both"/>
              <w:rPr>
                <w:color w:val="000000" w:themeColor="text1"/>
              </w:rPr>
            </w:pPr>
            <w:r w:rsidRPr="004A782C">
              <w:rPr>
                <w:color w:val="000000" w:themeColor="text1"/>
              </w:rPr>
              <w:t>Brahmin/</w:t>
            </w:r>
            <w:proofErr w:type="spellStart"/>
            <w:r w:rsidRPr="004A782C">
              <w:rPr>
                <w:color w:val="000000" w:themeColor="text1"/>
              </w:rPr>
              <w:t>Kshetri</w:t>
            </w:r>
            <w:proofErr w:type="spellEnd"/>
          </w:p>
        </w:tc>
        <w:tc>
          <w:tcPr>
            <w:tcW w:w="1274" w:type="dxa"/>
            <w:noWrap/>
            <w:vAlign w:val="center"/>
            <w:hideMark/>
          </w:tcPr>
          <w:p w14:paraId="4AF6D772" w14:textId="77777777" w:rsidR="00C64C95" w:rsidRPr="004A782C" w:rsidRDefault="00C64C95" w:rsidP="00B27EBA">
            <w:pPr>
              <w:spacing w:line="276" w:lineRule="auto"/>
              <w:contextualSpacing/>
              <w:jc w:val="both"/>
              <w:rPr>
                <w:color w:val="000000" w:themeColor="text1"/>
              </w:rPr>
            </w:pPr>
            <w:r w:rsidRPr="004A782C">
              <w:rPr>
                <w:color w:val="000000"/>
              </w:rPr>
              <w:t>5.49</w:t>
            </w:r>
          </w:p>
        </w:tc>
        <w:tc>
          <w:tcPr>
            <w:tcW w:w="1274" w:type="dxa"/>
            <w:noWrap/>
            <w:vAlign w:val="center"/>
            <w:hideMark/>
          </w:tcPr>
          <w:p w14:paraId="7AB40F45" w14:textId="77777777" w:rsidR="00C64C95" w:rsidRPr="004A782C" w:rsidRDefault="00C64C95" w:rsidP="00B27EBA">
            <w:pPr>
              <w:spacing w:line="276" w:lineRule="auto"/>
              <w:contextualSpacing/>
              <w:jc w:val="both"/>
              <w:rPr>
                <w:color w:val="000000" w:themeColor="text1"/>
              </w:rPr>
            </w:pPr>
            <w:r w:rsidRPr="004A782C">
              <w:rPr>
                <w:color w:val="000000"/>
              </w:rPr>
              <w:t>4.73</w:t>
            </w:r>
          </w:p>
        </w:tc>
        <w:tc>
          <w:tcPr>
            <w:tcW w:w="1157" w:type="dxa"/>
            <w:vAlign w:val="center"/>
          </w:tcPr>
          <w:p w14:paraId="68BAC89E" w14:textId="77777777" w:rsidR="00C64C95" w:rsidRPr="004A782C" w:rsidRDefault="00C64C95" w:rsidP="00B27EBA">
            <w:pPr>
              <w:spacing w:line="276" w:lineRule="auto"/>
              <w:contextualSpacing/>
              <w:jc w:val="both"/>
              <w:rPr>
                <w:color w:val="000000" w:themeColor="text1"/>
              </w:rPr>
            </w:pPr>
            <w:r w:rsidRPr="004A782C">
              <w:rPr>
                <w:color w:val="000000"/>
              </w:rPr>
              <w:t>0.40</w:t>
            </w:r>
          </w:p>
        </w:tc>
        <w:tc>
          <w:tcPr>
            <w:tcW w:w="1056" w:type="dxa"/>
            <w:vAlign w:val="center"/>
          </w:tcPr>
          <w:p w14:paraId="60AF4DA8" w14:textId="77777777" w:rsidR="00C64C95" w:rsidRPr="004A782C" w:rsidRDefault="00C64C95" w:rsidP="00B27EBA">
            <w:pPr>
              <w:spacing w:line="276" w:lineRule="auto"/>
              <w:contextualSpacing/>
              <w:jc w:val="both"/>
              <w:rPr>
                <w:color w:val="000000" w:themeColor="text1"/>
              </w:rPr>
            </w:pPr>
            <w:r w:rsidRPr="004A782C">
              <w:rPr>
                <w:color w:val="000000"/>
              </w:rPr>
              <w:t>3</w:t>
            </w:r>
          </w:p>
        </w:tc>
        <w:tc>
          <w:tcPr>
            <w:tcW w:w="922" w:type="dxa"/>
            <w:vAlign w:val="center"/>
          </w:tcPr>
          <w:p w14:paraId="40431453" w14:textId="77777777" w:rsidR="00C64C95" w:rsidRPr="004A782C" w:rsidRDefault="00C64C95" w:rsidP="00B27EBA">
            <w:pPr>
              <w:spacing w:line="276" w:lineRule="auto"/>
              <w:contextualSpacing/>
              <w:jc w:val="both"/>
              <w:rPr>
                <w:color w:val="000000" w:themeColor="text1"/>
              </w:rPr>
            </w:pPr>
            <w:r w:rsidRPr="004A782C">
              <w:rPr>
                <w:color w:val="000000"/>
              </w:rPr>
              <w:t>340</w:t>
            </w:r>
          </w:p>
        </w:tc>
        <w:tc>
          <w:tcPr>
            <w:tcW w:w="1384" w:type="dxa"/>
            <w:gridSpan w:val="2"/>
            <w:vAlign w:val="center"/>
          </w:tcPr>
          <w:p w14:paraId="686F9C60" w14:textId="77777777" w:rsidR="00C64C95" w:rsidRPr="004A782C" w:rsidRDefault="00C64C95" w:rsidP="00B27EBA">
            <w:pPr>
              <w:spacing w:line="276" w:lineRule="auto"/>
              <w:contextualSpacing/>
              <w:jc w:val="both"/>
              <w:rPr>
                <w:color w:val="000000" w:themeColor="text1"/>
              </w:rPr>
            </w:pPr>
            <w:r w:rsidRPr="004A782C">
              <w:rPr>
                <w:color w:val="000000"/>
              </w:rPr>
              <w:t>0.754</w:t>
            </w:r>
          </w:p>
        </w:tc>
      </w:tr>
      <w:tr w:rsidR="00C64C95" w:rsidRPr="004A782C" w14:paraId="24480AA1" w14:textId="77777777" w:rsidTr="00496B7B">
        <w:trPr>
          <w:trHeight w:val="300"/>
        </w:trPr>
        <w:tc>
          <w:tcPr>
            <w:tcW w:w="1851" w:type="dxa"/>
            <w:noWrap/>
            <w:hideMark/>
          </w:tcPr>
          <w:p w14:paraId="4C90FA4F"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Janajaati</w:t>
            </w:r>
            <w:proofErr w:type="spellEnd"/>
          </w:p>
        </w:tc>
        <w:tc>
          <w:tcPr>
            <w:tcW w:w="1274" w:type="dxa"/>
            <w:noWrap/>
            <w:vAlign w:val="center"/>
            <w:hideMark/>
          </w:tcPr>
          <w:p w14:paraId="70DF987D" w14:textId="77777777" w:rsidR="00C64C95" w:rsidRPr="004A782C" w:rsidRDefault="00C64C95" w:rsidP="00B27EBA">
            <w:pPr>
              <w:spacing w:line="276" w:lineRule="auto"/>
              <w:contextualSpacing/>
              <w:jc w:val="both"/>
              <w:rPr>
                <w:color w:val="000000" w:themeColor="text1"/>
              </w:rPr>
            </w:pPr>
            <w:r w:rsidRPr="004A782C">
              <w:rPr>
                <w:color w:val="000000"/>
              </w:rPr>
              <w:t>6.24</w:t>
            </w:r>
          </w:p>
        </w:tc>
        <w:tc>
          <w:tcPr>
            <w:tcW w:w="1274" w:type="dxa"/>
            <w:noWrap/>
            <w:vAlign w:val="center"/>
            <w:hideMark/>
          </w:tcPr>
          <w:p w14:paraId="4CE9F3E9" w14:textId="77777777" w:rsidR="00C64C95" w:rsidRPr="004A782C" w:rsidRDefault="00C64C95" w:rsidP="00B27EBA">
            <w:pPr>
              <w:spacing w:line="276" w:lineRule="auto"/>
              <w:contextualSpacing/>
              <w:jc w:val="both"/>
              <w:rPr>
                <w:color w:val="000000" w:themeColor="text1"/>
              </w:rPr>
            </w:pPr>
            <w:r w:rsidRPr="004A782C">
              <w:rPr>
                <w:color w:val="000000"/>
              </w:rPr>
              <w:t>4.02</w:t>
            </w:r>
          </w:p>
        </w:tc>
        <w:tc>
          <w:tcPr>
            <w:tcW w:w="1157" w:type="dxa"/>
            <w:vAlign w:val="bottom"/>
          </w:tcPr>
          <w:p w14:paraId="463F1F44"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7E9F4393"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3EF0505E" w14:textId="77777777" w:rsidR="00C64C95" w:rsidRPr="004A782C" w:rsidRDefault="00C64C95" w:rsidP="00B27EBA">
            <w:pPr>
              <w:spacing w:line="276" w:lineRule="auto"/>
              <w:contextualSpacing/>
              <w:jc w:val="both"/>
              <w:rPr>
                <w:color w:val="000000" w:themeColor="text1"/>
              </w:rPr>
            </w:pPr>
          </w:p>
        </w:tc>
      </w:tr>
      <w:tr w:rsidR="00C64C95" w:rsidRPr="004A782C" w14:paraId="1536D665" w14:textId="77777777" w:rsidTr="00496B7B">
        <w:trPr>
          <w:trHeight w:val="300"/>
        </w:trPr>
        <w:tc>
          <w:tcPr>
            <w:tcW w:w="1851" w:type="dxa"/>
            <w:noWrap/>
            <w:hideMark/>
          </w:tcPr>
          <w:p w14:paraId="7ACC8C37"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Newar</w:t>
            </w:r>
            <w:proofErr w:type="spellEnd"/>
          </w:p>
        </w:tc>
        <w:tc>
          <w:tcPr>
            <w:tcW w:w="1274" w:type="dxa"/>
            <w:noWrap/>
            <w:vAlign w:val="center"/>
            <w:hideMark/>
          </w:tcPr>
          <w:p w14:paraId="142C0FFF" w14:textId="77777777" w:rsidR="00C64C95" w:rsidRPr="004A782C" w:rsidRDefault="00C64C95" w:rsidP="00B27EBA">
            <w:pPr>
              <w:spacing w:line="276" w:lineRule="auto"/>
              <w:contextualSpacing/>
              <w:jc w:val="both"/>
              <w:rPr>
                <w:color w:val="000000" w:themeColor="text1"/>
              </w:rPr>
            </w:pPr>
            <w:r w:rsidRPr="004A782C">
              <w:rPr>
                <w:color w:val="000000"/>
              </w:rPr>
              <w:t>5.29</w:t>
            </w:r>
          </w:p>
        </w:tc>
        <w:tc>
          <w:tcPr>
            <w:tcW w:w="1274" w:type="dxa"/>
            <w:noWrap/>
            <w:vAlign w:val="center"/>
            <w:hideMark/>
          </w:tcPr>
          <w:p w14:paraId="796E6068" w14:textId="77777777" w:rsidR="00C64C95" w:rsidRPr="004A782C" w:rsidRDefault="00C64C95" w:rsidP="00B27EBA">
            <w:pPr>
              <w:spacing w:line="276" w:lineRule="auto"/>
              <w:contextualSpacing/>
              <w:jc w:val="both"/>
              <w:rPr>
                <w:color w:val="000000" w:themeColor="text1"/>
              </w:rPr>
            </w:pPr>
            <w:r w:rsidRPr="004A782C">
              <w:rPr>
                <w:color w:val="000000"/>
              </w:rPr>
              <w:t>3.91</w:t>
            </w:r>
          </w:p>
        </w:tc>
        <w:tc>
          <w:tcPr>
            <w:tcW w:w="1157" w:type="dxa"/>
            <w:vAlign w:val="bottom"/>
          </w:tcPr>
          <w:p w14:paraId="1A756D85"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25F744FC"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1A1E3DD5" w14:textId="77777777" w:rsidR="00C64C95" w:rsidRPr="004A782C" w:rsidRDefault="00C64C95" w:rsidP="00B27EBA">
            <w:pPr>
              <w:spacing w:line="276" w:lineRule="auto"/>
              <w:contextualSpacing/>
              <w:jc w:val="both"/>
              <w:rPr>
                <w:color w:val="000000" w:themeColor="text1"/>
              </w:rPr>
            </w:pPr>
          </w:p>
        </w:tc>
      </w:tr>
      <w:tr w:rsidR="00C64C95" w:rsidRPr="004A782C" w14:paraId="681FE9C4" w14:textId="77777777" w:rsidTr="00496B7B">
        <w:trPr>
          <w:trHeight w:val="300"/>
        </w:trPr>
        <w:tc>
          <w:tcPr>
            <w:tcW w:w="1851" w:type="dxa"/>
            <w:noWrap/>
            <w:hideMark/>
          </w:tcPr>
          <w:p w14:paraId="73CB9523" w14:textId="77777777" w:rsidR="00C64C95" w:rsidRPr="004A782C" w:rsidRDefault="00C64C95" w:rsidP="00B27EBA">
            <w:pPr>
              <w:spacing w:line="276" w:lineRule="auto"/>
              <w:contextualSpacing/>
              <w:jc w:val="both"/>
              <w:rPr>
                <w:color w:val="000000" w:themeColor="text1"/>
              </w:rPr>
            </w:pPr>
            <w:r w:rsidRPr="004A782C">
              <w:rPr>
                <w:color w:val="000000" w:themeColor="text1"/>
              </w:rPr>
              <w:t>Others</w:t>
            </w:r>
          </w:p>
        </w:tc>
        <w:tc>
          <w:tcPr>
            <w:tcW w:w="1274" w:type="dxa"/>
            <w:noWrap/>
            <w:vAlign w:val="center"/>
            <w:hideMark/>
          </w:tcPr>
          <w:p w14:paraId="6425659C" w14:textId="77777777" w:rsidR="00C64C95" w:rsidRPr="004A782C" w:rsidRDefault="00C64C95" w:rsidP="00B27EBA">
            <w:pPr>
              <w:spacing w:line="276" w:lineRule="auto"/>
              <w:contextualSpacing/>
              <w:jc w:val="both"/>
              <w:rPr>
                <w:color w:val="000000" w:themeColor="text1"/>
              </w:rPr>
            </w:pPr>
            <w:r w:rsidRPr="004A782C">
              <w:rPr>
                <w:color w:val="000000"/>
              </w:rPr>
              <w:t>5.16</w:t>
            </w:r>
          </w:p>
        </w:tc>
        <w:tc>
          <w:tcPr>
            <w:tcW w:w="1274" w:type="dxa"/>
            <w:noWrap/>
            <w:vAlign w:val="center"/>
            <w:hideMark/>
          </w:tcPr>
          <w:p w14:paraId="09B8024B" w14:textId="77777777" w:rsidR="00C64C95" w:rsidRPr="004A782C" w:rsidRDefault="00C64C95" w:rsidP="00B27EBA">
            <w:pPr>
              <w:spacing w:line="276" w:lineRule="auto"/>
              <w:contextualSpacing/>
              <w:jc w:val="both"/>
              <w:rPr>
                <w:color w:val="000000" w:themeColor="text1"/>
              </w:rPr>
            </w:pPr>
            <w:r w:rsidRPr="004A782C">
              <w:rPr>
                <w:color w:val="000000"/>
              </w:rPr>
              <w:t>4.69</w:t>
            </w:r>
          </w:p>
        </w:tc>
        <w:tc>
          <w:tcPr>
            <w:tcW w:w="1157" w:type="dxa"/>
            <w:vAlign w:val="bottom"/>
          </w:tcPr>
          <w:p w14:paraId="733CAAF2"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7976EC7D"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625B6ADF" w14:textId="77777777" w:rsidR="00C64C95" w:rsidRPr="004A782C" w:rsidRDefault="00C64C95" w:rsidP="00B27EBA">
            <w:pPr>
              <w:spacing w:line="276" w:lineRule="auto"/>
              <w:contextualSpacing/>
              <w:jc w:val="both"/>
              <w:rPr>
                <w:color w:val="000000" w:themeColor="text1"/>
              </w:rPr>
            </w:pPr>
          </w:p>
        </w:tc>
      </w:tr>
      <w:tr w:rsidR="00C64C95" w:rsidRPr="004A782C" w14:paraId="2C718975" w14:textId="77777777" w:rsidTr="00496B7B">
        <w:trPr>
          <w:trHeight w:val="315"/>
        </w:trPr>
        <w:tc>
          <w:tcPr>
            <w:tcW w:w="1851" w:type="dxa"/>
            <w:noWrap/>
            <w:hideMark/>
          </w:tcPr>
          <w:p w14:paraId="2B57EE9A" w14:textId="26A5A87D" w:rsidR="00C64C95" w:rsidRPr="004A782C" w:rsidRDefault="00C64C95" w:rsidP="00B27EBA">
            <w:pPr>
              <w:spacing w:line="276" w:lineRule="auto"/>
              <w:contextualSpacing/>
              <w:jc w:val="both"/>
              <w:rPr>
                <w:color w:val="000000" w:themeColor="text1"/>
              </w:rPr>
            </w:pPr>
            <w:r w:rsidRPr="004A782C">
              <w:rPr>
                <w:color w:val="000000" w:themeColor="text1"/>
              </w:rPr>
              <w:t>ATMHP</w:t>
            </w:r>
            <w:r w:rsidR="00C92EDD" w:rsidRPr="004A782C">
              <w:rPr>
                <w:color w:val="000000" w:themeColor="text1"/>
              </w:rPr>
              <w:t xml:space="preserve"> Total</w:t>
            </w:r>
          </w:p>
        </w:tc>
        <w:tc>
          <w:tcPr>
            <w:tcW w:w="1274" w:type="dxa"/>
            <w:noWrap/>
            <w:vAlign w:val="bottom"/>
            <w:hideMark/>
          </w:tcPr>
          <w:p w14:paraId="67696116" w14:textId="77777777" w:rsidR="00C64C95" w:rsidRPr="004A782C" w:rsidRDefault="00C64C95" w:rsidP="00B27EBA">
            <w:pPr>
              <w:spacing w:line="276" w:lineRule="auto"/>
              <w:contextualSpacing/>
              <w:jc w:val="both"/>
              <w:rPr>
                <w:color w:val="000000" w:themeColor="text1"/>
              </w:rPr>
            </w:pPr>
          </w:p>
        </w:tc>
        <w:tc>
          <w:tcPr>
            <w:tcW w:w="1274" w:type="dxa"/>
            <w:noWrap/>
            <w:vAlign w:val="bottom"/>
            <w:hideMark/>
          </w:tcPr>
          <w:p w14:paraId="50BE6C59" w14:textId="77777777" w:rsidR="00C64C95" w:rsidRPr="004A782C" w:rsidRDefault="00C64C95" w:rsidP="00B27EBA">
            <w:pPr>
              <w:spacing w:line="276" w:lineRule="auto"/>
              <w:contextualSpacing/>
              <w:jc w:val="both"/>
              <w:rPr>
                <w:color w:val="000000" w:themeColor="text1"/>
              </w:rPr>
            </w:pPr>
          </w:p>
        </w:tc>
        <w:tc>
          <w:tcPr>
            <w:tcW w:w="1157" w:type="dxa"/>
            <w:vAlign w:val="bottom"/>
          </w:tcPr>
          <w:p w14:paraId="344F66A1" w14:textId="77777777" w:rsidR="00C64C95" w:rsidRPr="004A782C" w:rsidRDefault="00C64C95" w:rsidP="00B27EBA">
            <w:pPr>
              <w:spacing w:line="276" w:lineRule="auto"/>
              <w:contextualSpacing/>
              <w:jc w:val="both"/>
              <w:rPr>
                <w:color w:val="000000" w:themeColor="text1"/>
              </w:rPr>
            </w:pPr>
          </w:p>
        </w:tc>
        <w:tc>
          <w:tcPr>
            <w:tcW w:w="1056" w:type="dxa"/>
          </w:tcPr>
          <w:p w14:paraId="6520EF39" w14:textId="77777777" w:rsidR="00C64C95" w:rsidRPr="004A782C" w:rsidRDefault="00C64C95" w:rsidP="00B27EBA">
            <w:pPr>
              <w:spacing w:line="276" w:lineRule="auto"/>
              <w:contextualSpacing/>
              <w:jc w:val="both"/>
              <w:rPr>
                <w:color w:val="000000" w:themeColor="text1"/>
              </w:rPr>
            </w:pPr>
          </w:p>
        </w:tc>
        <w:tc>
          <w:tcPr>
            <w:tcW w:w="2306" w:type="dxa"/>
            <w:gridSpan w:val="3"/>
          </w:tcPr>
          <w:p w14:paraId="3B865B83" w14:textId="77777777" w:rsidR="00C64C95" w:rsidRPr="004A782C" w:rsidRDefault="00C64C95" w:rsidP="00B27EBA">
            <w:pPr>
              <w:spacing w:line="276" w:lineRule="auto"/>
              <w:contextualSpacing/>
              <w:jc w:val="both"/>
              <w:rPr>
                <w:color w:val="000000" w:themeColor="text1"/>
              </w:rPr>
            </w:pPr>
          </w:p>
        </w:tc>
      </w:tr>
      <w:tr w:rsidR="00C64C95" w:rsidRPr="004A782C" w14:paraId="6A5E98A3" w14:textId="77777777" w:rsidTr="00496B7B">
        <w:trPr>
          <w:trHeight w:val="315"/>
        </w:trPr>
        <w:tc>
          <w:tcPr>
            <w:tcW w:w="1851" w:type="dxa"/>
            <w:noWrap/>
            <w:hideMark/>
          </w:tcPr>
          <w:p w14:paraId="1AB31151" w14:textId="77777777" w:rsidR="00C64C95" w:rsidRPr="004A782C" w:rsidRDefault="00C64C95" w:rsidP="00B27EBA">
            <w:pPr>
              <w:spacing w:line="276" w:lineRule="auto"/>
              <w:contextualSpacing/>
              <w:jc w:val="both"/>
              <w:rPr>
                <w:color w:val="000000" w:themeColor="text1"/>
              </w:rPr>
            </w:pPr>
            <w:r w:rsidRPr="004A782C">
              <w:rPr>
                <w:color w:val="000000" w:themeColor="text1"/>
              </w:rPr>
              <w:t>Brahmin/</w:t>
            </w:r>
            <w:proofErr w:type="spellStart"/>
            <w:r w:rsidRPr="004A782C">
              <w:rPr>
                <w:color w:val="000000" w:themeColor="text1"/>
              </w:rPr>
              <w:t>Kshetri</w:t>
            </w:r>
            <w:proofErr w:type="spellEnd"/>
          </w:p>
        </w:tc>
        <w:tc>
          <w:tcPr>
            <w:tcW w:w="1274" w:type="dxa"/>
            <w:noWrap/>
            <w:vAlign w:val="center"/>
            <w:hideMark/>
          </w:tcPr>
          <w:p w14:paraId="62AC12A9" w14:textId="77777777" w:rsidR="00C64C95" w:rsidRPr="004A782C" w:rsidRDefault="00C64C95" w:rsidP="00B27EBA">
            <w:pPr>
              <w:spacing w:line="276" w:lineRule="auto"/>
              <w:contextualSpacing/>
              <w:jc w:val="both"/>
              <w:rPr>
                <w:color w:val="000000" w:themeColor="text1"/>
              </w:rPr>
            </w:pPr>
            <w:r w:rsidRPr="004A782C">
              <w:rPr>
                <w:color w:val="000000"/>
              </w:rPr>
              <w:t>34.15</w:t>
            </w:r>
          </w:p>
        </w:tc>
        <w:tc>
          <w:tcPr>
            <w:tcW w:w="1274" w:type="dxa"/>
            <w:noWrap/>
            <w:vAlign w:val="center"/>
            <w:hideMark/>
          </w:tcPr>
          <w:p w14:paraId="7E54CD1C" w14:textId="77777777" w:rsidR="00C64C95" w:rsidRPr="004A782C" w:rsidRDefault="00C64C95" w:rsidP="00B27EBA">
            <w:pPr>
              <w:spacing w:line="276" w:lineRule="auto"/>
              <w:contextualSpacing/>
              <w:jc w:val="both"/>
              <w:rPr>
                <w:color w:val="000000" w:themeColor="text1"/>
              </w:rPr>
            </w:pPr>
            <w:r w:rsidRPr="004A782C">
              <w:rPr>
                <w:color w:val="000000"/>
              </w:rPr>
              <w:t>20.11</w:t>
            </w:r>
          </w:p>
        </w:tc>
        <w:tc>
          <w:tcPr>
            <w:tcW w:w="1157" w:type="dxa"/>
            <w:vAlign w:val="center"/>
          </w:tcPr>
          <w:p w14:paraId="164DA4B5" w14:textId="77777777" w:rsidR="00C64C95" w:rsidRPr="004A782C" w:rsidRDefault="00C64C95" w:rsidP="00B27EBA">
            <w:pPr>
              <w:spacing w:line="276" w:lineRule="auto"/>
              <w:contextualSpacing/>
              <w:jc w:val="both"/>
              <w:rPr>
                <w:color w:val="000000" w:themeColor="text1"/>
              </w:rPr>
            </w:pPr>
            <w:r w:rsidRPr="004A782C">
              <w:rPr>
                <w:color w:val="000000"/>
              </w:rPr>
              <w:t>1.11</w:t>
            </w:r>
          </w:p>
        </w:tc>
        <w:tc>
          <w:tcPr>
            <w:tcW w:w="1056" w:type="dxa"/>
            <w:vAlign w:val="center"/>
          </w:tcPr>
          <w:p w14:paraId="3BB47F35" w14:textId="77777777" w:rsidR="00C64C95" w:rsidRPr="004A782C" w:rsidRDefault="00C64C95" w:rsidP="00B27EBA">
            <w:pPr>
              <w:spacing w:line="276" w:lineRule="auto"/>
              <w:contextualSpacing/>
              <w:jc w:val="both"/>
              <w:rPr>
                <w:color w:val="000000" w:themeColor="text1"/>
              </w:rPr>
            </w:pPr>
            <w:r w:rsidRPr="004A782C">
              <w:rPr>
                <w:color w:val="000000"/>
              </w:rPr>
              <w:t>3</w:t>
            </w:r>
          </w:p>
        </w:tc>
        <w:tc>
          <w:tcPr>
            <w:tcW w:w="922" w:type="dxa"/>
            <w:vAlign w:val="center"/>
          </w:tcPr>
          <w:p w14:paraId="1680EAB9" w14:textId="77777777" w:rsidR="00C64C95" w:rsidRPr="004A782C" w:rsidRDefault="00C64C95" w:rsidP="00B27EBA">
            <w:pPr>
              <w:spacing w:line="276" w:lineRule="auto"/>
              <w:contextualSpacing/>
              <w:jc w:val="both"/>
              <w:rPr>
                <w:color w:val="000000" w:themeColor="text1"/>
              </w:rPr>
            </w:pPr>
            <w:r w:rsidRPr="004A782C">
              <w:rPr>
                <w:color w:val="000000"/>
              </w:rPr>
              <w:t>340</w:t>
            </w:r>
          </w:p>
        </w:tc>
        <w:tc>
          <w:tcPr>
            <w:tcW w:w="1384" w:type="dxa"/>
            <w:gridSpan w:val="2"/>
            <w:vAlign w:val="center"/>
          </w:tcPr>
          <w:p w14:paraId="6AB98635" w14:textId="77777777" w:rsidR="00C64C95" w:rsidRPr="004A782C" w:rsidRDefault="00C64C95" w:rsidP="00B27EBA">
            <w:pPr>
              <w:spacing w:line="276" w:lineRule="auto"/>
              <w:contextualSpacing/>
              <w:jc w:val="both"/>
              <w:rPr>
                <w:color w:val="000000" w:themeColor="text1"/>
              </w:rPr>
            </w:pPr>
            <w:r w:rsidRPr="004A782C">
              <w:rPr>
                <w:color w:val="000000"/>
              </w:rPr>
              <w:t>0.344</w:t>
            </w:r>
          </w:p>
        </w:tc>
      </w:tr>
      <w:tr w:rsidR="00C64C95" w:rsidRPr="004A782C" w14:paraId="0FD5E501" w14:textId="77777777" w:rsidTr="00496B7B">
        <w:trPr>
          <w:trHeight w:val="300"/>
        </w:trPr>
        <w:tc>
          <w:tcPr>
            <w:tcW w:w="1851" w:type="dxa"/>
            <w:noWrap/>
            <w:hideMark/>
          </w:tcPr>
          <w:p w14:paraId="4A1288F2"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Janajaati</w:t>
            </w:r>
            <w:proofErr w:type="spellEnd"/>
          </w:p>
        </w:tc>
        <w:tc>
          <w:tcPr>
            <w:tcW w:w="1274" w:type="dxa"/>
            <w:noWrap/>
            <w:vAlign w:val="center"/>
            <w:hideMark/>
          </w:tcPr>
          <w:p w14:paraId="441C7CB0" w14:textId="77777777" w:rsidR="00C64C95" w:rsidRPr="004A782C" w:rsidRDefault="00C64C95" w:rsidP="00B27EBA">
            <w:pPr>
              <w:spacing w:line="276" w:lineRule="auto"/>
              <w:contextualSpacing/>
              <w:jc w:val="both"/>
              <w:rPr>
                <w:color w:val="000000" w:themeColor="text1"/>
              </w:rPr>
            </w:pPr>
            <w:r w:rsidRPr="004A782C">
              <w:rPr>
                <w:color w:val="000000"/>
              </w:rPr>
              <w:t>39.65</w:t>
            </w:r>
          </w:p>
        </w:tc>
        <w:tc>
          <w:tcPr>
            <w:tcW w:w="1274" w:type="dxa"/>
            <w:noWrap/>
            <w:vAlign w:val="center"/>
            <w:hideMark/>
          </w:tcPr>
          <w:p w14:paraId="13E83E70" w14:textId="77777777" w:rsidR="00C64C95" w:rsidRPr="004A782C" w:rsidRDefault="00C64C95" w:rsidP="00B27EBA">
            <w:pPr>
              <w:spacing w:line="276" w:lineRule="auto"/>
              <w:contextualSpacing/>
              <w:jc w:val="both"/>
              <w:rPr>
                <w:color w:val="000000" w:themeColor="text1"/>
              </w:rPr>
            </w:pPr>
            <w:r w:rsidRPr="004A782C">
              <w:rPr>
                <w:color w:val="000000"/>
              </w:rPr>
              <w:t>18.05</w:t>
            </w:r>
          </w:p>
        </w:tc>
        <w:tc>
          <w:tcPr>
            <w:tcW w:w="1157" w:type="dxa"/>
            <w:vAlign w:val="bottom"/>
          </w:tcPr>
          <w:p w14:paraId="4FB001A3"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2E3BB7D6"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44085C9E" w14:textId="77777777" w:rsidR="00C64C95" w:rsidRPr="004A782C" w:rsidRDefault="00C64C95" w:rsidP="00B27EBA">
            <w:pPr>
              <w:spacing w:line="276" w:lineRule="auto"/>
              <w:contextualSpacing/>
              <w:jc w:val="both"/>
              <w:rPr>
                <w:color w:val="000000" w:themeColor="text1"/>
              </w:rPr>
            </w:pPr>
          </w:p>
        </w:tc>
      </w:tr>
      <w:tr w:rsidR="00C64C95" w:rsidRPr="004A782C" w14:paraId="5A6A9D05" w14:textId="77777777" w:rsidTr="00496B7B">
        <w:trPr>
          <w:trHeight w:val="300"/>
        </w:trPr>
        <w:tc>
          <w:tcPr>
            <w:tcW w:w="1851" w:type="dxa"/>
            <w:noWrap/>
            <w:hideMark/>
          </w:tcPr>
          <w:p w14:paraId="1BBF1568" w14:textId="77777777" w:rsidR="00C64C95" w:rsidRPr="004A782C" w:rsidRDefault="00C64C95" w:rsidP="00B27EBA">
            <w:pPr>
              <w:spacing w:line="276" w:lineRule="auto"/>
              <w:contextualSpacing/>
              <w:jc w:val="both"/>
              <w:rPr>
                <w:color w:val="000000" w:themeColor="text1"/>
              </w:rPr>
            </w:pPr>
            <w:proofErr w:type="spellStart"/>
            <w:r w:rsidRPr="004A782C">
              <w:rPr>
                <w:color w:val="000000" w:themeColor="text1"/>
              </w:rPr>
              <w:t>Newar</w:t>
            </w:r>
            <w:proofErr w:type="spellEnd"/>
          </w:p>
        </w:tc>
        <w:tc>
          <w:tcPr>
            <w:tcW w:w="1274" w:type="dxa"/>
            <w:noWrap/>
            <w:vAlign w:val="center"/>
            <w:hideMark/>
          </w:tcPr>
          <w:p w14:paraId="0CA4F98C" w14:textId="77777777" w:rsidR="00C64C95" w:rsidRPr="004A782C" w:rsidRDefault="00C64C95" w:rsidP="00B27EBA">
            <w:pPr>
              <w:spacing w:line="276" w:lineRule="auto"/>
              <w:contextualSpacing/>
              <w:jc w:val="both"/>
              <w:rPr>
                <w:color w:val="000000" w:themeColor="text1"/>
              </w:rPr>
            </w:pPr>
            <w:r w:rsidRPr="004A782C">
              <w:rPr>
                <w:color w:val="000000"/>
              </w:rPr>
              <w:t>33.36</w:t>
            </w:r>
          </w:p>
        </w:tc>
        <w:tc>
          <w:tcPr>
            <w:tcW w:w="1274" w:type="dxa"/>
            <w:noWrap/>
            <w:vAlign w:val="center"/>
            <w:hideMark/>
          </w:tcPr>
          <w:p w14:paraId="30061D44" w14:textId="77777777" w:rsidR="00C64C95" w:rsidRPr="004A782C" w:rsidRDefault="00C64C95" w:rsidP="00B27EBA">
            <w:pPr>
              <w:spacing w:line="276" w:lineRule="auto"/>
              <w:contextualSpacing/>
              <w:jc w:val="both"/>
              <w:rPr>
                <w:color w:val="000000" w:themeColor="text1"/>
              </w:rPr>
            </w:pPr>
            <w:r w:rsidRPr="004A782C">
              <w:rPr>
                <w:color w:val="000000"/>
              </w:rPr>
              <w:t>17.13</w:t>
            </w:r>
          </w:p>
        </w:tc>
        <w:tc>
          <w:tcPr>
            <w:tcW w:w="1157" w:type="dxa"/>
            <w:vAlign w:val="bottom"/>
          </w:tcPr>
          <w:p w14:paraId="759D9663"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vAlign w:val="bottom"/>
          </w:tcPr>
          <w:p w14:paraId="399F4841"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EA3BBDB" w14:textId="77777777" w:rsidR="00C64C95" w:rsidRPr="004A782C" w:rsidRDefault="00C64C95" w:rsidP="00B27EBA">
            <w:pPr>
              <w:spacing w:line="276" w:lineRule="auto"/>
              <w:contextualSpacing/>
              <w:jc w:val="both"/>
              <w:rPr>
                <w:color w:val="000000" w:themeColor="text1"/>
              </w:rPr>
            </w:pPr>
          </w:p>
        </w:tc>
      </w:tr>
      <w:tr w:rsidR="00C64C95" w:rsidRPr="004A782C" w14:paraId="7678F614" w14:textId="77777777" w:rsidTr="00496B7B">
        <w:trPr>
          <w:trHeight w:val="300"/>
        </w:trPr>
        <w:tc>
          <w:tcPr>
            <w:tcW w:w="1851" w:type="dxa"/>
            <w:tcBorders>
              <w:bottom w:val="single" w:sz="4" w:space="0" w:color="auto"/>
            </w:tcBorders>
            <w:noWrap/>
            <w:hideMark/>
          </w:tcPr>
          <w:p w14:paraId="4716A833" w14:textId="77777777" w:rsidR="00C64C95" w:rsidRPr="004A782C" w:rsidRDefault="00C64C95" w:rsidP="00B27EBA">
            <w:pPr>
              <w:spacing w:line="276" w:lineRule="auto"/>
              <w:contextualSpacing/>
              <w:jc w:val="both"/>
              <w:rPr>
                <w:color w:val="000000" w:themeColor="text1"/>
              </w:rPr>
            </w:pPr>
            <w:r w:rsidRPr="004A782C">
              <w:rPr>
                <w:color w:val="000000" w:themeColor="text1"/>
              </w:rPr>
              <w:t>Others</w:t>
            </w:r>
          </w:p>
        </w:tc>
        <w:tc>
          <w:tcPr>
            <w:tcW w:w="1274" w:type="dxa"/>
            <w:tcBorders>
              <w:bottom w:val="single" w:sz="4" w:space="0" w:color="auto"/>
            </w:tcBorders>
            <w:noWrap/>
            <w:vAlign w:val="center"/>
            <w:hideMark/>
          </w:tcPr>
          <w:p w14:paraId="4B3F8F22" w14:textId="77777777" w:rsidR="00C64C95" w:rsidRPr="004A782C" w:rsidRDefault="00C64C95" w:rsidP="00B27EBA">
            <w:pPr>
              <w:spacing w:line="276" w:lineRule="auto"/>
              <w:contextualSpacing/>
              <w:jc w:val="both"/>
              <w:rPr>
                <w:color w:val="000000" w:themeColor="text1"/>
              </w:rPr>
            </w:pPr>
            <w:r w:rsidRPr="004A782C">
              <w:rPr>
                <w:color w:val="000000"/>
              </w:rPr>
              <w:t>31.84</w:t>
            </w:r>
          </w:p>
        </w:tc>
        <w:tc>
          <w:tcPr>
            <w:tcW w:w="1274" w:type="dxa"/>
            <w:tcBorders>
              <w:bottom w:val="single" w:sz="4" w:space="0" w:color="auto"/>
            </w:tcBorders>
            <w:noWrap/>
            <w:vAlign w:val="center"/>
            <w:hideMark/>
          </w:tcPr>
          <w:p w14:paraId="6062E6B0" w14:textId="77777777" w:rsidR="00C64C95" w:rsidRPr="004A782C" w:rsidRDefault="00C64C95" w:rsidP="00B27EBA">
            <w:pPr>
              <w:spacing w:line="276" w:lineRule="auto"/>
              <w:contextualSpacing/>
              <w:jc w:val="both"/>
              <w:rPr>
                <w:color w:val="000000" w:themeColor="text1"/>
              </w:rPr>
            </w:pPr>
            <w:r w:rsidRPr="004A782C">
              <w:rPr>
                <w:color w:val="000000"/>
              </w:rPr>
              <w:t>18.53</w:t>
            </w:r>
          </w:p>
        </w:tc>
        <w:tc>
          <w:tcPr>
            <w:tcW w:w="1157" w:type="dxa"/>
            <w:tcBorders>
              <w:bottom w:val="single" w:sz="4" w:space="0" w:color="auto"/>
            </w:tcBorders>
            <w:vAlign w:val="bottom"/>
          </w:tcPr>
          <w:p w14:paraId="4D38D7E3" w14:textId="77777777" w:rsidR="00C64C95" w:rsidRPr="004A782C" w:rsidRDefault="00C64C95" w:rsidP="00B27EBA">
            <w:pPr>
              <w:spacing w:line="276" w:lineRule="auto"/>
              <w:contextualSpacing/>
              <w:jc w:val="both"/>
              <w:rPr>
                <w:color w:val="000000" w:themeColor="text1"/>
              </w:rPr>
            </w:pPr>
            <w:r w:rsidRPr="004A782C">
              <w:rPr>
                <w:color w:val="000000"/>
              </w:rPr>
              <w:t> </w:t>
            </w:r>
          </w:p>
        </w:tc>
        <w:tc>
          <w:tcPr>
            <w:tcW w:w="1056" w:type="dxa"/>
            <w:tcBorders>
              <w:bottom w:val="single" w:sz="4" w:space="0" w:color="auto"/>
            </w:tcBorders>
            <w:vAlign w:val="bottom"/>
          </w:tcPr>
          <w:p w14:paraId="18BEF32A" w14:textId="77777777" w:rsidR="00C64C95" w:rsidRPr="004A782C" w:rsidRDefault="00C64C95" w:rsidP="00B27EBA">
            <w:pPr>
              <w:spacing w:line="276" w:lineRule="auto"/>
              <w:contextualSpacing/>
              <w:jc w:val="both"/>
              <w:rPr>
                <w:color w:val="000000" w:themeColor="text1"/>
              </w:rPr>
            </w:pPr>
          </w:p>
        </w:tc>
        <w:tc>
          <w:tcPr>
            <w:tcW w:w="2306" w:type="dxa"/>
            <w:gridSpan w:val="3"/>
            <w:tcBorders>
              <w:bottom w:val="single" w:sz="4" w:space="0" w:color="auto"/>
            </w:tcBorders>
            <w:vAlign w:val="bottom"/>
          </w:tcPr>
          <w:p w14:paraId="7083419C" w14:textId="77777777" w:rsidR="00C64C95" w:rsidRPr="004A782C" w:rsidRDefault="00C64C95" w:rsidP="00B27EBA">
            <w:pPr>
              <w:spacing w:line="276" w:lineRule="auto"/>
              <w:contextualSpacing/>
              <w:jc w:val="both"/>
              <w:rPr>
                <w:color w:val="000000" w:themeColor="text1"/>
              </w:rPr>
            </w:pPr>
          </w:p>
        </w:tc>
      </w:tr>
      <w:tr w:rsidR="00C64C95" w:rsidRPr="004A782C" w14:paraId="5F7F1162" w14:textId="77777777" w:rsidTr="00EE3BE0">
        <w:trPr>
          <w:trHeight w:val="304"/>
        </w:trPr>
        <w:tc>
          <w:tcPr>
            <w:tcW w:w="8918" w:type="dxa"/>
            <w:gridSpan w:val="8"/>
            <w:tcBorders>
              <w:top w:val="single" w:sz="4" w:space="0" w:color="auto"/>
              <w:bottom w:val="single" w:sz="4" w:space="0" w:color="auto"/>
            </w:tcBorders>
            <w:noWrap/>
          </w:tcPr>
          <w:p w14:paraId="0988C876" w14:textId="77777777" w:rsidR="00C64C95" w:rsidRPr="004A782C" w:rsidRDefault="00C64C95" w:rsidP="00B27EBA">
            <w:pPr>
              <w:spacing w:line="276" w:lineRule="auto"/>
              <w:contextualSpacing/>
              <w:jc w:val="both"/>
              <w:rPr>
                <w:i/>
                <w:iCs/>
                <w:color w:val="000000" w:themeColor="text1"/>
              </w:rPr>
            </w:pPr>
            <w:r w:rsidRPr="004A782C">
              <w:rPr>
                <w:color w:val="000000" w:themeColor="text1"/>
              </w:rPr>
              <w:t>Types of Institutions [Government (</w:t>
            </w:r>
            <w:r w:rsidRPr="004A782C">
              <w:rPr>
                <w:i/>
                <w:iCs/>
                <w:color w:val="000000" w:themeColor="text1"/>
              </w:rPr>
              <w:t>N</w:t>
            </w:r>
            <w:r w:rsidRPr="004A782C">
              <w:rPr>
                <w:color w:val="000000" w:themeColor="text1"/>
              </w:rPr>
              <w:t xml:space="preserve"> = 122), Private (</w:t>
            </w:r>
            <w:r w:rsidRPr="004A782C">
              <w:rPr>
                <w:i/>
                <w:iCs/>
                <w:color w:val="000000" w:themeColor="text1"/>
              </w:rPr>
              <w:t>N</w:t>
            </w:r>
            <w:r w:rsidRPr="004A782C">
              <w:rPr>
                <w:color w:val="000000" w:themeColor="text1"/>
              </w:rPr>
              <w:t xml:space="preserve"> = 84), Public (</w:t>
            </w:r>
            <w:r w:rsidRPr="004A782C">
              <w:rPr>
                <w:i/>
                <w:iCs/>
                <w:color w:val="000000" w:themeColor="text1"/>
              </w:rPr>
              <w:t>N</w:t>
            </w:r>
            <w:r w:rsidRPr="004A782C">
              <w:rPr>
                <w:color w:val="000000" w:themeColor="text1"/>
              </w:rPr>
              <w:t xml:space="preserve"> = 179)]</w:t>
            </w:r>
          </w:p>
        </w:tc>
      </w:tr>
      <w:tr w:rsidR="00C64C95" w:rsidRPr="004A782C" w14:paraId="374EAD66" w14:textId="77777777" w:rsidTr="00496B7B">
        <w:trPr>
          <w:trHeight w:val="315"/>
        </w:trPr>
        <w:tc>
          <w:tcPr>
            <w:tcW w:w="1851" w:type="dxa"/>
            <w:tcBorders>
              <w:top w:val="single" w:sz="4" w:space="0" w:color="auto"/>
            </w:tcBorders>
            <w:noWrap/>
            <w:hideMark/>
          </w:tcPr>
          <w:p w14:paraId="28CAD77C"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ATMHP </w:t>
            </w:r>
            <w:r w:rsidRPr="004A782C">
              <w:rPr>
                <w:rFonts w:eastAsia="Times New Roman"/>
                <w:color w:val="000000" w:themeColor="text1"/>
                <w:lang w:bidi="ne-NP"/>
              </w:rPr>
              <w:t>Factor</w:t>
            </w:r>
          </w:p>
        </w:tc>
        <w:tc>
          <w:tcPr>
            <w:tcW w:w="1274" w:type="dxa"/>
            <w:tcBorders>
              <w:top w:val="single" w:sz="4" w:space="0" w:color="auto"/>
            </w:tcBorders>
            <w:noWrap/>
            <w:vAlign w:val="bottom"/>
            <w:hideMark/>
          </w:tcPr>
          <w:p w14:paraId="08B985B2" w14:textId="77777777" w:rsidR="00C64C95" w:rsidRPr="004A782C" w:rsidRDefault="00C64C95" w:rsidP="00B27EBA">
            <w:pPr>
              <w:spacing w:line="276" w:lineRule="auto"/>
              <w:contextualSpacing/>
              <w:jc w:val="both"/>
              <w:rPr>
                <w:color w:val="000000" w:themeColor="text1"/>
              </w:rPr>
            </w:pPr>
          </w:p>
        </w:tc>
        <w:tc>
          <w:tcPr>
            <w:tcW w:w="1274" w:type="dxa"/>
            <w:tcBorders>
              <w:top w:val="single" w:sz="4" w:space="0" w:color="auto"/>
            </w:tcBorders>
            <w:noWrap/>
            <w:vAlign w:val="bottom"/>
            <w:hideMark/>
          </w:tcPr>
          <w:p w14:paraId="504AA261" w14:textId="77777777" w:rsidR="00C64C95" w:rsidRPr="004A782C" w:rsidRDefault="00C64C95" w:rsidP="00B27EBA">
            <w:pPr>
              <w:spacing w:line="276" w:lineRule="auto"/>
              <w:contextualSpacing/>
              <w:jc w:val="both"/>
              <w:rPr>
                <w:color w:val="000000" w:themeColor="text1"/>
              </w:rPr>
            </w:pPr>
          </w:p>
        </w:tc>
        <w:tc>
          <w:tcPr>
            <w:tcW w:w="1157" w:type="dxa"/>
            <w:tcBorders>
              <w:top w:val="single" w:sz="4" w:space="0" w:color="auto"/>
            </w:tcBorders>
            <w:vAlign w:val="bottom"/>
          </w:tcPr>
          <w:p w14:paraId="5A443D3A" w14:textId="77777777" w:rsidR="00C64C95" w:rsidRPr="004A782C" w:rsidRDefault="00C64C95" w:rsidP="00B27EBA">
            <w:pPr>
              <w:spacing w:line="276" w:lineRule="auto"/>
              <w:contextualSpacing/>
              <w:jc w:val="both"/>
              <w:rPr>
                <w:color w:val="000000" w:themeColor="text1"/>
              </w:rPr>
            </w:pPr>
          </w:p>
        </w:tc>
        <w:tc>
          <w:tcPr>
            <w:tcW w:w="1056" w:type="dxa"/>
            <w:tcBorders>
              <w:top w:val="single" w:sz="4" w:space="0" w:color="auto"/>
            </w:tcBorders>
          </w:tcPr>
          <w:p w14:paraId="06EDB9AF" w14:textId="77777777" w:rsidR="00C64C95" w:rsidRPr="004A782C" w:rsidRDefault="00C64C95" w:rsidP="00B27EBA">
            <w:pPr>
              <w:spacing w:line="276" w:lineRule="auto"/>
              <w:contextualSpacing/>
              <w:jc w:val="both"/>
              <w:rPr>
                <w:color w:val="000000" w:themeColor="text1"/>
              </w:rPr>
            </w:pPr>
          </w:p>
        </w:tc>
        <w:tc>
          <w:tcPr>
            <w:tcW w:w="2306" w:type="dxa"/>
            <w:gridSpan w:val="3"/>
            <w:tcBorders>
              <w:top w:val="single" w:sz="4" w:space="0" w:color="auto"/>
            </w:tcBorders>
          </w:tcPr>
          <w:p w14:paraId="68F9195B" w14:textId="77777777" w:rsidR="00C64C95" w:rsidRPr="004A782C" w:rsidRDefault="00C64C95" w:rsidP="00B27EBA">
            <w:pPr>
              <w:spacing w:line="276" w:lineRule="auto"/>
              <w:contextualSpacing/>
              <w:jc w:val="both"/>
              <w:rPr>
                <w:color w:val="000000" w:themeColor="text1"/>
              </w:rPr>
            </w:pPr>
          </w:p>
        </w:tc>
      </w:tr>
      <w:tr w:rsidR="00C64C95" w:rsidRPr="004A782C" w14:paraId="01B205F4" w14:textId="77777777" w:rsidTr="00496B7B">
        <w:trPr>
          <w:trHeight w:val="315"/>
        </w:trPr>
        <w:tc>
          <w:tcPr>
            <w:tcW w:w="1851" w:type="dxa"/>
            <w:noWrap/>
            <w:vAlign w:val="center"/>
            <w:hideMark/>
          </w:tcPr>
          <w:p w14:paraId="605EE6C3" w14:textId="77777777" w:rsidR="00C64C95" w:rsidRPr="004A782C" w:rsidRDefault="00C64C95" w:rsidP="00B27EBA">
            <w:pPr>
              <w:spacing w:line="276" w:lineRule="auto"/>
              <w:contextualSpacing/>
              <w:jc w:val="both"/>
              <w:rPr>
                <w:color w:val="000000" w:themeColor="text1"/>
              </w:rPr>
            </w:pPr>
            <w:r w:rsidRPr="004A782C">
              <w:rPr>
                <w:color w:val="000000" w:themeColor="text1"/>
              </w:rPr>
              <w:t>Government</w:t>
            </w:r>
          </w:p>
        </w:tc>
        <w:tc>
          <w:tcPr>
            <w:tcW w:w="1274" w:type="dxa"/>
            <w:noWrap/>
            <w:vAlign w:val="center"/>
            <w:hideMark/>
          </w:tcPr>
          <w:p w14:paraId="33C7B656" w14:textId="77777777" w:rsidR="00C64C95" w:rsidRPr="004A782C" w:rsidRDefault="00C64C95" w:rsidP="00B27EBA">
            <w:pPr>
              <w:spacing w:line="276" w:lineRule="auto"/>
              <w:contextualSpacing/>
              <w:jc w:val="both"/>
              <w:rPr>
                <w:color w:val="000000" w:themeColor="text1"/>
              </w:rPr>
            </w:pPr>
            <w:r w:rsidRPr="004A782C">
              <w:rPr>
                <w:color w:val="000000"/>
              </w:rPr>
              <w:t>8.83</w:t>
            </w:r>
          </w:p>
        </w:tc>
        <w:tc>
          <w:tcPr>
            <w:tcW w:w="1274" w:type="dxa"/>
            <w:noWrap/>
            <w:vAlign w:val="center"/>
            <w:hideMark/>
          </w:tcPr>
          <w:p w14:paraId="0FAABF83" w14:textId="77777777" w:rsidR="00C64C95" w:rsidRPr="004A782C" w:rsidRDefault="00C64C95" w:rsidP="00B27EBA">
            <w:pPr>
              <w:spacing w:line="276" w:lineRule="auto"/>
              <w:contextualSpacing/>
              <w:jc w:val="both"/>
              <w:rPr>
                <w:color w:val="000000" w:themeColor="text1"/>
              </w:rPr>
            </w:pPr>
            <w:r w:rsidRPr="004A782C">
              <w:rPr>
                <w:color w:val="000000"/>
              </w:rPr>
              <w:t>5.33</w:t>
            </w:r>
          </w:p>
        </w:tc>
        <w:tc>
          <w:tcPr>
            <w:tcW w:w="1157" w:type="dxa"/>
            <w:vAlign w:val="center"/>
          </w:tcPr>
          <w:p w14:paraId="2481B5E5" w14:textId="77777777" w:rsidR="00C64C95" w:rsidRPr="004A782C" w:rsidRDefault="00C64C95" w:rsidP="00B27EBA">
            <w:pPr>
              <w:spacing w:line="276" w:lineRule="auto"/>
              <w:contextualSpacing/>
              <w:jc w:val="both"/>
              <w:rPr>
                <w:color w:val="000000" w:themeColor="text1"/>
              </w:rPr>
            </w:pPr>
            <w:r w:rsidRPr="004A782C">
              <w:rPr>
                <w:color w:val="000000"/>
              </w:rPr>
              <w:t>0.12</w:t>
            </w:r>
          </w:p>
        </w:tc>
        <w:tc>
          <w:tcPr>
            <w:tcW w:w="1056" w:type="dxa"/>
            <w:vAlign w:val="center"/>
          </w:tcPr>
          <w:p w14:paraId="1F2BD99A" w14:textId="77777777" w:rsidR="00C64C95" w:rsidRPr="004A782C" w:rsidRDefault="00C64C95" w:rsidP="00B27EBA">
            <w:pPr>
              <w:spacing w:line="276" w:lineRule="auto"/>
              <w:contextualSpacing/>
              <w:jc w:val="both"/>
              <w:rPr>
                <w:color w:val="000000" w:themeColor="text1"/>
              </w:rPr>
            </w:pPr>
            <w:r w:rsidRPr="004A782C">
              <w:rPr>
                <w:color w:val="000000"/>
              </w:rPr>
              <w:t>2</w:t>
            </w:r>
          </w:p>
        </w:tc>
        <w:tc>
          <w:tcPr>
            <w:tcW w:w="931" w:type="dxa"/>
            <w:gridSpan w:val="2"/>
            <w:vAlign w:val="center"/>
          </w:tcPr>
          <w:p w14:paraId="7047A064" w14:textId="77777777" w:rsidR="00C64C95" w:rsidRPr="004A782C" w:rsidRDefault="00C64C95" w:rsidP="00B27EBA">
            <w:pPr>
              <w:spacing w:line="276" w:lineRule="auto"/>
              <w:contextualSpacing/>
              <w:jc w:val="both"/>
              <w:rPr>
                <w:color w:val="000000" w:themeColor="text1"/>
              </w:rPr>
            </w:pPr>
            <w:r w:rsidRPr="004A782C">
              <w:rPr>
                <w:color w:val="000000"/>
              </w:rPr>
              <w:t>345</w:t>
            </w:r>
          </w:p>
        </w:tc>
        <w:tc>
          <w:tcPr>
            <w:tcW w:w="1375" w:type="dxa"/>
            <w:vAlign w:val="center"/>
          </w:tcPr>
          <w:p w14:paraId="06E1060E" w14:textId="77777777" w:rsidR="00C64C95" w:rsidRPr="004A782C" w:rsidRDefault="00C64C95" w:rsidP="00B27EBA">
            <w:pPr>
              <w:spacing w:line="276" w:lineRule="auto"/>
              <w:contextualSpacing/>
              <w:jc w:val="both"/>
              <w:rPr>
                <w:color w:val="000000" w:themeColor="text1"/>
              </w:rPr>
            </w:pPr>
            <w:r w:rsidRPr="004A782C">
              <w:rPr>
                <w:color w:val="000000"/>
              </w:rPr>
              <w:t>0.888</w:t>
            </w:r>
          </w:p>
        </w:tc>
      </w:tr>
      <w:tr w:rsidR="00C64C95" w:rsidRPr="004A782C" w14:paraId="460D1DD0" w14:textId="77777777" w:rsidTr="00496B7B">
        <w:trPr>
          <w:trHeight w:val="300"/>
        </w:trPr>
        <w:tc>
          <w:tcPr>
            <w:tcW w:w="1851" w:type="dxa"/>
            <w:noWrap/>
            <w:vAlign w:val="center"/>
            <w:hideMark/>
          </w:tcPr>
          <w:p w14:paraId="259B2454" w14:textId="77777777" w:rsidR="00C64C95" w:rsidRPr="004A782C" w:rsidRDefault="00C64C95" w:rsidP="00B27EBA">
            <w:pPr>
              <w:spacing w:line="276" w:lineRule="auto"/>
              <w:contextualSpacing/>
              <w:jc w:val="both"/>
              <w:rPr>
                <w:color w:val="000000" w:themeColor="text1"/>
              </w:rPr>
            </w:pPr>
            <w:r w:rsidRPr="004A782C">
              <w:rPr>
                <w:color w:val="000000" w:themeColor="text1"/>
              </w:rPr>
              <w:t>Private</w:t>
            </w:r>
          </w:p>
        </w:tc>
        <w:tc>
          <w:tcPr>
            <w:tcW w:w="1274" w:type="dxa"/>
            <w:noWrap/>
            <w:vAlign w:val="center"/>
            <w:hideMark/>
          </w:tcPr>
          <w:p w14:paraId="4BCD7752" w14:textId="77777777" w:rsidR="00C64C95" w:rsidRPr="004A782C" w:rsidRDefault="00C64C95" w:rsidP="00B27EBA">
            <w:pPr>
              <w:spacing w:line="276" w:lineRule="auto"/>
              <w:contextualSpacing/>
              <w:jc w:val="both"/>
              <w:rPr>
                <w:color w:val="000000" w:themeColor="text1"/>
              </w:rPr>
            </w:pPr>
            <w:r w:rsidRPr="004A782C">
              <w:rPr>
                <w:color w:val="000000"/>
              </w:rPr>
              <w:t>8.67</w:t>
            </w:r>
          </w:p>
        </w:tc>
        <w:tc>
          <w:tcPr>
            <w:tcW w:w="1274" w:type="dxa"/>
            <w:noWrap/>
            <w:vAlign w:val="center"/>
            <w:hideMark/>
          </w:tcPr>
          <w:p w14:paraId="2467563D" w14:textId="77777777" w:rsidR="00C64C95" w:rsidRPr="004A782C" w:rsidRDefault="00C64C95" w:rsidP="00B27EBA">
            <w:pPr>
              <w:spacing w:line="276" w:lineRule="auto"/>
              <w:contextualSpacing/>
              <w:jc w:val="both"/>
              <w:rPr>
                <w:color w:val="000000" w:themeColor="text1"/>
              </w:rPr>
            </w:pPr>
            <w:r w:rsidRPr="004A782C">
              <w:rPr>
                <w:color w:val="000000"/>
              </w:rPr>
              <w:t>5.50</w:t>
            </w:r>
          </w:p>
        </w:tc>
        <w:tc>
          <w:tcPr>
            <w:tcW w:w="1157" w:type="dxa"/>
            <w:vAlign w:val="bottom"/>
          </w:tcPr>
          <w:p w14:paraId="2B6426A5"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3C2B6288"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676FC608" w14:textId="77777777" w:rsidR="00C64C95" w:rsidRPr="004A782C" w:rsidRDefault="00C64C95" w:rsidP="00B27EBA">
            <w:pPr>
              <w:spacing w:line="276" w:lineRule="auto"/>
              <w:contextualSpacing/>
              <w:jc w:val="both"/>
              <w:rPr>
                <w:color w:val="000000" w:themeColor="text1"/>
              </w:rPr>
            </w:pPr>
          </w:p>
        </w:tc>
      </w:tr>
      <w:tr w:rsidR="00C64C95" w:rsidRPr="004A782C" w14:paraId="310C60E9" w14:textId="77777777" w:rsidTr="00496B7B">
        <w:trPr>
          <w:trHeight w:val="300"/>
        </w:trPr>
        <w:tc>
          <w:tcPr>
            <w:tcW w:w="1851" w:type="dxa"/>
            <w:noWrap/>
            <w:vAlign w:val="center"/>
            <w:hideMark/>
          </w:tcPr>
          <w:p w14:paraId="003D868A" w14:textId="77777777" w:rsidR="00C64C95" w:rsidRPr="004A782C" w:rsidRDefault="00C64C95" w:rsidP="00B27EBA">
            <w:pPr>
              <w:spacing w:line="276" w:lineRule="auto"/>
              <w:contextualSpacing/>
              <w:jc w:val="both"/>
              <w:rPr>
                <w:color w:val="000000" w:themeColor="text1"/>
              </w:rPr>
            </w:pPr>
            <w:r w:rsidRPr="004A782C">
              <w:rPr>
                <w:color w:val="000000" w:themeColor="text1"/>
              </w:rPr>
              <w:t>Public</w:t>
            </w:r>
          </w:p>
        </w:tc>
        <w:tc>
          <w:tcPr>
            <w:tcW w:w="1274" w:type="dxa"/>
            <w:noWrap/>
            <w:vAlign w:val="center"/>
            <w:hideMark/>
          </w:tcPr>
          <w:p w14:paraId="535F04AB" w14:textId="77777777" w:rsidR="00C64C95" w:rsidRPr="004A782C" w:rsidRDefault="00C64C95" w:rsidP="00B27EBA">
            <w:pPr>
              <w:spacing w:line="276" w:lineRule="auto"/>
              <w:contextualSpacing/>
              <w:jc w:val="both"/>
              <w:rPr>
                <w:color w:val="000000" w:themeColor="text1"/>
              </w:rPr>
            </w:pPr>
            <w:r w:rsidRPr="004A782C">
              <w:rPr>
                <w:color w:val="000000"/>
              </w:rPr>
              <w:t>9.02</w:t>
            </w:r>
          </w:p>
        </w:tc>
        <w:tc>
          <w:tcPr>
            <w:tcW w:w="1274" w:type="dxa"/>
            <w:noWrap/>
            <w:vAlign w:val="center"/>
            <w:hideMark/>
          </w:tcPr>
          <w:p w14:paraId="7F42F839" w14:textId="77777777" w:rsidR="00C64C95" w:rsidRPr="004A782C" w:rsidRDefault="00C64C95" w:rsidP="00B27EBA">
            <w:pPr>
              <w:spacing w:line="276" w:lineRule="auto"/>
              <w:contextualSpacing/>
              <w:jc w:val="both"/>
              <w:rPr>
                <w:color w:val="000000" w:themeColor="text1"/>
              </w:rPr>
            </w:pPr>
            <w:r w:rsidRPr="004A782C">
              <w:rPr>
                <w:color w:val="000000"/>
              </w:rPr>
              <w:t>4.98</w:t>
            </w:r>
          </w:p>
        </w:tc>
        <w:tc>
          <w:tcPr>
            <w:tcW w:w="1157" w:type="dxa"/>
            <w:vAlign w:val="bottom"/>
          </w:tcPr>
          <w:p w14:paraId="4739A4B5"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0970934B"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3ECF4810" w14:textId="77777777" w:rsidR="00C64C95" w:rsidRPr="004A782C" w:rsidRDefault="00C64C95" w:rsidP="00B27EBA">
            <w:pPr>
              <w:spacing w:line="276" w:lineRule="auto"/>
              <w:contextualSpacing/>
              <w:jc w:val="both"/>
              <w:rPr>
                <w:color w:val="000000" w:themeColor="text1"/>
              </w:rPr>
            </w:pPr>
          </w:p>
        </w:tc>
      </w:tr>
      <w:tr w:rsidR="00C64C95" w:rsidRPr="004A782C" w14:paraId="62EE6C06" w14:textId="77777777" w:rsidTr="00496B7B">
        <w:trPr>
          <w:trHeight w:val="315"/>
        </w:trPr>
        <w:tc>
          <w:tcPr>
            <w:tcW w:w="1851" w:type="dxa"/>
            <w:noWrap/>
            <w:hideMark/>
          </w:tcPr>
          <w:p w14:paraId="42EE8EFB"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ES </w:t>
            </w:r>
            <w:r w:rsidRPr="004A782C">
              <w:rPr>
                <w:rFonts w:eastAsia="Times New Roman"/>
                <w:color w:val="000000" w:themeColor="text1"/>
                <w:lang w:bidi="ne-NP"/>
              </w:rPr>
              <w:t>Factor</w:t>
            </w:r>
          </w:p>
        </w:tc>
        <w:tc>
          <w:tcPr>
            <w:tcW w:w="1274" w:type="dxa"/>
            <w:noWrap/>
            <w:vAlign w:val="center"/>
            <w:hideMark/>
          </w:tcPr>
          <w:p w14:paraId="54EFFFD6"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274" w:type="dxa"/>
            <w:noWrap/>
            <w:vAlign w:val="center"/>
            <w:hideMark/>
          </w:tcPr>
          <w:p w14:paraId="1636879E"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157" w:type="dxa"/>
            <w:vAlign w:val="bottom"/>
          </w:tcPr>
          <w:p w14:paraId="44FD67D4"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48850908"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32B849A7" w14:textId="77777777" w:rsidR="00C64C95" w:rsidRPr="004A782C" w:rsidRDefault="00C64C95" w:rsidP="00B27EBA">
            <w:pPr>
              <w:spacing w:line="276" w:lineRule="auto"/>
              <w:contextualSpacing/>
              <w:jc w:val="both"/>
              <w:rPr>
                <w:color w:val="000000" w:themeColor="text1"/>
              </w:rPr>
            </w:pPr>
          </w:p>
        </w:tc>
      </w:tr>
      <w:tr w:rsidR="00C64C95" w:rsidRPr="004A782C" w14:paraId="1B626399" w14:textId="77777777" w:rsidTr="00496B7B">
        <w:trPr>
          <w:trHeight w:val="300"/>
        </w:trPr>
        <w:tc>
          <w:tcPr>
            <w:tcW w:w="1851" w:type="dxa"/>
            <w:noWrap/>
            <w:vAlign w:val="center"/>
            <w:hideMark/>
          </w:tcPr>
          <w:p w14:paraId="6FB312A5" w14:textId="77777777" w:rsidR="00C64C95" w:rsidRPr="004A782C" w:rsidRDefault="00C64C95" w:rsidP="00B27EBA">
            <w:pPr>
              <w:spacing w:line="276" w:lineRule="auto"/>
              <w:contextualSpacing/>
              <w:jc w:val="both"/>
              <w:rPr>
                <w:color w:val="000000" w:themeColor="text1"/>
              </w:rPr>
            </w:pPr>
            <w:r w:rsidRPr="004A782C">
              <w:rPr>
                <w:color w:val="000000" w:themeColor="text1"/>
              </w:rPr>
              <w:lastRenderedPageBreak/>
              <w:t>Government</w:t>
            </w:r>
          </w:p>
        </w:tc>
        <w:tc>
          <w:tcPr>
            <w:tcW w:w="1274" w:type="dxa"/>
            <w:noWrap/>
            <w:vAlign w:val="center"/>
            <w:hideMark/>
          </w:tcPr>
          <w:p w14:paraId="43DF366F" w14:textId="77777777" w:rsidR="00C64C95" w:rsidRPr="004A782C" w:rsidRDefault="00C64C95" w:rsidP="00B27EBA">
            <w:pPr>
              <w:spacing w:line="276" w:lineRule="auto"/>
              <w:contextualSpacing/>
              <w:jc w:val="both"/>
              <w:rPr>
                <w:color w:val="000000" w:themeColor="text1"/>
              </w:rPr>
            </w:pPr>
            <w:r w:rsidRPr="004A782C">
              <w:rPr>
                <w:color w:val="000000"/>
              </w:rPr>
              <w:t>9.19</w:t>
            </w:r>
          </w:p>
        </w:tc>
        <w:tc>
          <w:tcPr>
            <w:tcW w:w="1274" w:type="dxa"/>
            <w:noWrap/>
            <w:vAlign w:val="center"/>
            <w:hideMark/>
          </w:tcPr>
          <w:p w14:paraId="653808C7" w14:textId="77777777" w:rsidR="00C64C95" w:rsidRPr="004A782C" w:rsidRDefault="00C64C95" w:rsidP="00B27EBA">
            <w:pPr>
              <w:spacing w:line="276" w:lineRule="auto"/>
              <w:contextualSpacing/>
              <w:jc w:val="both"/>
              <w:rPr>
                <w:color w:val="000000" w:themeColor="text1"/>
              </w:rPr>
            </w:pPr>
            <w:r w:rsidRPr="004A782C">
              <w:rPr>
                <w:color w:val="000000"/>
              </w:rPr>
              <w:t>7.56</w:t>
            </w:r>
          </w:p>
        </w:tc>
        <w:tc>
          <w:tcPr>
            <w:tcW w:w="1157" w:type="dxa"/>
            <w:vAlign w:val="center"/>
          </w:tcPr>
          <w:p w14:paraId="31B5ACEF" w14:textId="77777777" w:rsidR="00C64C95" w:rsidRPr="004A782C" w:rsidRDefault="00C64C95" w:rsidP="00B27EBA">
            <w:pPr>
              <w:spacing w:line="276" w:lineRule="auto"/>
              <w:contextualSpacing/>
              <w:jc w:val="both"/>
              <w:rPr>
                <w:color w:val="000000" w:themeColor="text1"/>
              </w:rPr>
            </w:pPr>
            <w:r w:rsidRPr="004A782C">
              <w:rPr>
                <w:color w:val="000000"/>
              </w:rPr>
              <w:t>2.29</w:t>
            </w:r>
          </w:p>
        </w:tc>
        <w:tc>
          <w:tcPr>
            <w:tcW w:w="1056" w:type="dxa"/>
            <w:vAlign w:val="center"/>
          </w:tcPr>
          <w:p w14:paraId="21B82338" w14:textId="77777777" w:rsidR="00C64C95" w:rsidRPr="004A782C" w:rsidRDefault="00C64C95" w:rsidP="00B27EBA">
            <w:pPr>
              <w:spacing w:line="276" w:lineRule="auto"/>
              <w:contextualSpacing/>
              <w:jc w:val="both"/>
              <w:rPr>
                <w:color w:val="000000" w:themeColor="text1"/>
              </w:rPr>
            </w:pPr>
            <w:r w:rsidRPr="004A782C">
              <w:rPr>
                <w:color w:val="000000"/>
              </w:rPr>
              <w:t>2</w:t>
            </w:r>
          </w:p>
        </w:tc>
        <w:tc>
          <w:tcPr>
            <w:tcW w:w="931" w:type="dxa"/>
            <w:gridSpan w:val="2"/>
            <w:vAlign w:val="center"/>
          </w:tcPr>
          <w:p w14:paraId="302BDF61" w14:textId="77777777" w:rsidR="00C64C95" w:rsidRPr="004A782C" w:rsidRDefault="00C64C95" w:rsidP="00B27EBA">
            <w:pPr>
              <w:spacing w:line="276" w:lineRule="auto"/>
              <w:contextualSpacing/>
              <w:jc w:val="both"/>
              <w:rPr>
                <w:color w:val="000000" w:themeColor="text1"/>
              </w:rPr>
            </w:pPr>
            <w:r w:rsidRPr="004A782C">
              <w:rPr>
                <w:color w:val="000000"/>
              </w:rPr>
              <w:t>345</w:t>
            </w:r>
          </w:p>
        </w:tc>
        <w:tc>
          <w:tcPr>
            <w:tcW w:w="1375" w:type="dxa"/>
            <w:vAlign w:val="center"/>
          </w:tcPr>
          <w:p w14:paraId="1E256362" w14:textId="77777777" w:rsidR="00C64C95" w:rsidRPr="004A782C" w:rsidRDefault="00C64C95" w:rsidP="00B27EBA">
            <w:pPr>
              <w:spacing w:line="276" w:lineRule="auto"/>
              <w:contextualSpacing/>
              <w:jc w:val="both"/>
              <w:rPr>
                <w:color w:val="000000" w:themeColor="text1"/>
              </w:rPr>
            </w:pPr>
            <w:r w:rsidRPr="004A782C">
              <w:rPr>
                <w:color w:val="000000"/>
              </w:rPr>
              <w:t>0.103</w:t>
            </w:r>
          </w:p>
        </w:tc>
      </w:tr>
      <w:tr w:rsidR="00C64C95" w:rsidRPr="004A782C" w14:paraId="6D948647" w14:textId="77777777" w:rsidTr="00496B7B">
        <w:trPr>
          <w:trHeight w:val="300"/>
        </w:trPr>
        <w:tc>
          <w:tcPr>
            <w:tcW w:w="1851" w:type="dxa"/>
            <w:noWrap/>
            <w:vAlign w:val="center"/>
            <w:hideMark/>
          </w:tcPr>
          <w:p w14:paraId="28939284" w14:textId="77777777" w:rsidR="00C64C95" w:rsidRPr="004A782C" w:rsidRDefault="00C64C95" w:rsidP="00B27EBA">
            <w:pPr>
              <w:spacing w:line="276" w:lineRule="auto"/>
              <w:contextualSpacing/>
              <w:jc w:val="both"/>
              <w:rPr>
                <w:color w:val="000000" w:themeColor="text1"/>
              </w:rPr>
            </w:pPr>
            <w:r w:rsidRPr="004A782C">
              <w:rPr>
                <w:color w:val="000000" w:themeColor="text1"/>
              </w:rPr>
              <w:t>Private</w:t>
            </w:r>
          </w:p>
        </w:tc>
        <w:tc>
          <w:tcPr>
            <w:tcW w:w="1274" w:type="dxa"/>
            <w:noWrap/>
            <w:vAlign w:val="center"/>
            <w:hideMark/>
          </w:tcPr>
          <w:p w14:paraId="406892B1" w14:textId="77777777" w:rsidR="00C64C95" w:rsidRPr="004A782C" w:rsidRDefault="00C64C95" w:rsidP="00B27EBA">
            <w:pPr>
              <w:spacing w:line="276" w:lineRule="auto"/>
              <w:contextualSpacing/>
              <w:jc w:val="both"/>
              <w:rPr>
                <w:color w:val="000000" w:themeColor="text1"/>
              </w:rPr>
            </w:pPr>
            <w:r w:rsidRPr="004A782C">
              <w:rPr>
                <w:color w:val="000000"/>
              </w:rPr>
              <w:t>8.86</w:t>
            </w:r>
          </w:p>
        </w:tc>
        <w:tc>
          <w:tcPr>
            <w:tcW w:w="1274" w:type="dxa"/>
            <w:noWrap/>
            <w:vAlign w:val="center"/>
            <w:hideMark/>
          </w:tcPr>
          <w:p w14:paraId="06D067BF" w14:textId="77777777" w:rsidR="00C64C95" w:rsidRPr="004A782C" w:rsidRDefault="00C64C95" w:rsidP="00B27EBA">
            <w:pPr>
              <w:spacing w:line="276" w:lineRule="auto"/>
              <w:contextualSpacing/>
              <w:jc w:val="both"/>
              <w:rPr>
                <w:color w:val="000000" w:themeColor="text1"/>
              </w:rPr>
            </w:pPr>
            <w:r w:rsidRPr="004A782C">
              <w:rPr>
                <w:color w:val="000000"/>
              </w:rPr>
              <w:t>7.88</w:t>
            </w:r>
          </w:p>
        </w:tc>
        <w:tc>
          <w:tcPr>
            <w:tcW w:w="1157" w:type="dxa"/>
            <w:vAlign w:val="bottom"/>
          </w:tcPr>
          <w:p w14:paraId="0428BCE4"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29E33AA4"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0D4D67D1" w14:textId="77777777" w:rsidR="00C64C95" w:rsidRPr="004A782C" w:rsidRDefault="00C64C95" w:rsidP="00B27EBA">
            <w:pPr>
              <w:spacing w:line="276" w:lineRule="auto"/>
              <w:contextualSpacing/>
              <w:jc w:val="both"/>
              <w:rPr>
                <w:color w:val="000000" w:themeColor="text1"/>
              </w:rPr>
            </w:pPr>
          </w:p>
        </w:tc>
      </w:tr>
      <w:tr w:rsidR="00C64C95" w:rsidRPr="004A782C" w14:paraId="0D9BC996" w14:textId="77777777" w:rsidTr="00496B7B">
        <w:trPr>
          <w:trHeight w:val="315"/>
        </w:trPr>
        <w:tc>
          <w:tcPr>
            <w:tcW w:w="1851" w:type="dxa"/>
            <w:noWrap/>
            <w:vAlign w:val="center"/>
            <w:hideMark/>
          </w:tcPr>
          <w:p w14:paraId="75F04B53" w14:textId="77777777" w:rsidR="00C64C95" w:rsidRPr="004A782C" w:rsidRDefault="00C64C95" w:rsidP="00B27EBA">
            <w:pPr>
              <w:spacing w:line="276" w:lineRule="auto"/>
              <w:contextualSpacing/>
              <w:jc w:val="both"/>
              <w:rPr>
                <w:color w:val="000000" w:themeColor="text1"/>
              </w:rPr>
            </w:pPr>
            <w:r w:rsidRPr="004A782C">
              <w:rPr>
                <w:color w:val="000000" w:themeColor="text1"/>
              </w:rPr>
              <w:t>Public</w:t>
            </w:r>
          </w:p>
        </w:tc>
        <w:tc>
          <w:tcPr>
            <w:tcW w:w="1274" w:type="dxa"/>
            <w:noWrap/>
            <w:vAlign w:val="center"/>
            <w:hideMark/>
          </w:tcPr>
          <w:p w14:paraId="1E86A0F9" w14:textId="77777777" w:rsidR="00C64C95" w:rsidRPr="004A782C" w:rsidRDefault="00C64C95" w:rsidP="00B27EBA">
            <w:pPr>
              <w:spacing w:line="276" w:lineRule="auto"/>
              <w:contextualSpacing/>
              <w:jc w:val="both"/>
              <w:rPr>
                <w:color w:val="000000" w:themeColor="text1"/>
              </w:rPr>
            </w:pPr>
            <w:r w:rsidRPr="004A782C">
              <w:rPr>
                <w:color w:val="000000"/>
              </w:rPr>
              <w:t>7.52</w:t>
            </w:r>
          </w:p>
        </w:tc>
        <w:tc>
          <w:tcPr>
            <w:tcW w:w="1274" w:type="dxa"/>
            <w:noWrap/>
            <w:vAlign w:val="center"/>
            <w:hideMark/>
          </w:tcPr>
          <w:p w14:paraId="2DDA20A3" w14:textId="77777777" w:rsidR="00C64C95" w:rsidRPr="004A782C" w:rsidRDefault="00C64C95" w:rsidP="00B27EBA">
            <w:pPr>
              <w:spacing w:line="276" w:lineRule="auto"/>
              <w:contextualSpacing/>
              <w:jc w:val="both"/>
              <w:rPr>
                <w:color w:val="000000" w:themeColor="text1"/>
              </w:rPr>
            </w:pPr>
            <w:r w:rsidRPr="004A782C">
              <w:rPr>
                <w:color w:val="000000"/>
              </w:rPr>
              <w:t>5.85</w:t>
            </w:r>
          </w:p>
        </w:tc>
        <w:tc>
          <w:tcPr>
            <w:tcW w:w="1157" w:type="dxa"/>
            <w:vAlign w:val="bottom"/>
          </w:tcPr>
          <w:p w14:paraId="2422DF30"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68D90356"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6861DE58" w14:textId="77777777" w:rsidR="00C64C95" w:rsidRPr="004A782C" w:rsidRDefault="00C64C95" w:rsidP="00B27EBA">
            <w:pPr>
              <w:spacing w:line="276" w:lineRule="auto"/>
              <w:contextualSpacing/>
              <w:jc w:val="both"/>
              <w:rPr>
                <w:color w:val="000000" w:themeColor="text1"/>
              </w:rPr>
            </w:pPr>
          </w:p>
        </w:tc>
      </w:tr>
      <w:tr w:rsidR="00C64C95" w:rsidRPr="004A782C" w14:paraId="6E86D7EE" w14:textId="77777777" w:rsidTr="00496B7B">
        <w:trPr>
          <w:trHeight w:val="315"/>
        </w:trPr>
        <w:tc>
          <w:tcPr>
            <w:tcW w:w="1851" w:type="dxa"/>
            <w:noWrap/>
            <w:hideMark/>
          </w:tcPr>
          <w:p w14:paraId="2C913D62"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IS </w:t>
            </w:r>
            <w:r w:rsidRPr="004A782C">
              <w:rPr>
                <w:rFonts w:eastAsia="Times New Roman"/>
                <w:color w:val="000000" w:themeColor="text1"/>
                <w:lang w:bidi="ne-NP"/>
              </w:rPr>
              <w:t>Factor</w:t>
            </w:r>
          </w:p>
        </w:tc>
        <w:tc>
          <w:tcPr>
            <w:tcW w:w="1274" w:type="dxa"/>
            <w:noWrap/>
            <w:vAlign w:val="center"/>
            <w:hideMark/>
          </w:tcPr>
          <w:p w14:paraId="5AECB3CA"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274" w:type="dxa"/>
            <w:noWrap/>
            <w:vAlign w:val="center"/>
            <w:hideMark/>
          </w:tcPr>
          <w:p w14:paraId="45BA2865"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157" w:type="dxa"/>
            <w:vAlign w:val="bottom"/>
          </w:tcPr>
          <w:p w14:paraId="11AC86A2"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22B5A376"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D4C9898" w14:textId="77777777" w:rsidR="00C64C95" w:rsidRPr="004A782C" w:rsidRDefault="00C64C95" w:rsidP="00B27EBA">
            <w:pPr>
              <w:spacing w:line="276" w:lineRule="auto"/>
              <w:contextualSpacing/>
              <w:jc w:val="both"/>
              <w:rPr>
                <w:color w:val="000000" w:themeColor="text1"/>
              </w:rPr>
            </w:pPr>
          </w:p>
        </w:tc>
      </w:tr>
      <w:tr w:rsidR="00C64C95" w:rsidRPr="004A782C" w14:paraId="1A19E6C9" w14:textId="77777777" w:rsidTr="00496B7B">
        <w:trPr>
          <w:trHeight w:val="315"/>
        </w:trPr>
        <w:tc>
          <w:tcPr>
            <w:tcW w:w="1851" w:type="dxa"/>
            <w:noWrap/>
            <w:vAlign w:val="center"/>
            <w:hideMark/>
          </w:tcPr>
          <w:p w14:paraId="4616C810" w14:textId="77777777" w:rsidR="00C64C95" w:rsidRPr="004A782C" w:rsidRDefault="00C64C95" w:rsidP="00B27EBA">
            <w:pPr>
              <w:spacing w:line="276" w:lineRule="auto"/>
              <w:contextualSpacing/>
              <w:jc w:val="both"/>
              <w:rPr>
                <w:color w:val="000000" w:themeColor="text1"/>
              </w:rPr>
            </w:pPr>
            <w:r w:rsidRPr="004A782C">
              <w:rPr>
                <w:color w:val="000000" w:themeColor="text1"/>
              </w:rPr>
              <w:t>Government</w:t>
            </w:r>
          </w:p>
        </w:tc>
        <w:tc>
          <w:tcPr>
            <w:tcW w:w="1274" w:type="dxa"/>
            <w:noWrap/>
            <w:vAlign w:val="center"/>
            <w:hideMark/>
          </w:tcPr>
          <w:p w14:paraId="7305D85D" w14:textId="77777777" w:rsidR="00C64C95" w:rsidRPr="004A782C" w:rsidRDefault="00C64C95" w:rsidP="00B27EBA">
            <w:pPr>
              <w:spacing w:line="276" w:lineRule="auto"/>
              <w:contextualSpacing/>
              <w:jc w:val="both"/>
              <w:rPr>
                <w:color w:val="000000" w:themeColor="text1"/>
              </w:rPr>
            </w:pPr>
            <w:r w:rsidRPr="004A782C">
              <w:rPr>
                <w:color w:val="000000"/>
              </w:rPr>
              <w:t>3.40</w:t>
            </w:r>
          </w:p>
        </w:tc>
        <w:tc>
          <w:tcPr>
            <w:tcW w:w="1274" w:type="dxa"/>
            <w:noWrap/>
            <w:vAlign w:val="center"/>
            <w:hideMark/>
          </w:tcPr>
          <w:p w14:paraId="424A5DB9" w14:textId="77777777" w:rsidR="00C64C95" w:rsidRPr="004A782C" w:rsidRDefault="00C64C95" w:rsidP="00B27EBA">
            <w:pPr>
              <w:spacing w:line="276" w:lineRule="auto"/>
              <w:contextualSpacing/>
              <w:jc w:val="both"/>
              <w:rPr>
                <w:color w:val="000000" w:themeColor="text1"/>
              </w:rPr>
            </w:pPr>
            <w:r w:rsidRPr="004A782C">
              <w:rPr>
                <w:color w:val="000000"/>
              </w:rPr>
              <w:t>3.59</w:t>
            </w:r>
          </w:p>
        </w:tc>
        <w:tc>
          <w:tcPr>
            <w:tcW w:w="1157" w:type="dxa"/>
            <w:vAlign w:val="center"/>
          </w:tcPr>
          <w:p w14:paraId="39FA5873" w14:textId="77777777" w:rsidR="00C64C95" w:rsidRPr="004A782C" w:rsidRDefault="00C64C95" w:rsidP="00B27EBA">
            <w:pPr>
              <w:spacing w:line="276" w:lineRule="auto"/>
              <w:contextualSpacing/>
              <w:jc w:val="both"/>
              <w:rPr>
                <w:color w:val="000000" w:themeColor="text1"/>
              </w:rPr>
            </w:pPr>
            <w:r w:rsidRPr="004A782C">
              <w:rPr>
                <w:color w:val="000000"/>
              </w:rPr>
              <w:t>3.41</w:t>
            </w:r>
          </w:p>
        </w:tc>
        <w:tc>
          <w:tcPr>
            <w:tcW w:w="1056" w:type="dxa"/>
            <w:vAlign w:val="center"/>
          </w:tcPr>
          <w:p w14:paraId="5420103D" w14:textId="77777777" w:rsidR="00C64C95" w:rsidRPr="004A782C" w:rsidRDefault="00C64C95" w:rsidP="00B27EBA">
            <w:pPr>
              <w:spacing w:line="276" w:lineRule="auto"/>
              <w:contextualSpacing/>
              <w:jc w:val="both"/>
              <w:rPr>
                <w:color w:val="000000" w:themeColor="text1"/>
              </w:rPr>
            </w:pPr>
            <w:r w:rsidRPr="004A782C">
              <w:rPr>
                <w:color w:val="000000"/>
              </w:rPr>
              <w:t>2</w:t>
            </w:r>
          </w:p>
        </w:tc>
        <w:tc>
          <w:tcPr>
            <w:tcW w:w="931" w:type="dxa"/>
            <w:gridSpan w:val="2"/>
            <w:vAlign w:val="center"/>
          </w:tcPr>
          <w:p w14:paraId="6D1BD38B" w14:textId="77777777" w:rsidR="00C64C95" w:rsidRPr="004A782C" w:rsidRDefault="00C64C95" w:rsidP="00B27EBA">
            <w:pPr>
              <w:spacing w:line="276" w:lineRule="auto"/>
              <w:contextualSpacing/>
              <w:jc w:val="both"/>
              <w:rPr>
                <w:color w:val="000000" w:themeColor="text1"/>
              </w:rPr>
            </w:pPr>
            <w:r w:rsidRPr="004A782C">
              <w:rPr>
                <w:color w:val="000000"/>
              </w:rPr>
              <w:t>345</w:t>
            </w:r>
          </w:p>
        </w:tc>
        <w:tc>
          <w:tcPr>
            <w:tcW w:w="1375" w:type="dxa"/>
            <w:vAlign w:val="center"/>
          </w:tcPr>
          <w:p w14:paraId="5F8F5E1A" w14:textId="77777777" w:rsidR="00C64C95" w:rsidRPr="004A782C" w:rsidRDefault="00C64C95" w:rsidP="00B27EBA">
            <w:pPr>
              <w:spacing w:line="276" w:lineRule="auto"/>
              <w:contextualSpacing/>
              <w:jc w:val="both"/>
              <w:rPr>
                <w:color w:val="000000" w:themeColor="text1"/>
              </w:rPr>
            </w:pPr>
            <w:r w:rsidRPr="004A782C">
              <w:rPr>
                <w:color w:val="000000"/>
              </w:rPr>
              <w:t>0.034*</w:t>
            </w:r>
          </w:p>
        </w:tc>
      </w:tr>
      <w:tr w:rsidR="00C64C95" w:rsidRPr="004A782C" w14:paraId="352BDD3A" w14:textId="77777777" w:rsidTr="00496B7B">
        <w:trPr>
          <w:trHeight w:val="300"/>
        </w:trPr>
        <w:tc>
          <w:tcPr>
            <w:tcW w:w="1851" w:type="dxa"/>
            <w:noWrap/>
            <w:vAlign w:val="center"/>
            <w:hideMark/>
          </w:tcPr>
          <w:p w14:paraId="6EB7709A" w14:textId="77777777" w:rsidR="00C64C95" w:rsidRPr="004A782C" w:rsidRDefault="00C64C95" w:rsidP="00B27EBA">
            <w:pPr>
              <w:spacing w:line="276" w:lineRule="auto"/>
              <w:contextualSpacing/>
              <w:jc w:val="both"/>
              <w:rPr>
                <w:color w:val="000000" w:themeColor="text1"/>
              </w:rPr>
            </w:pPr>
            <w:r w:rsidRPr="004A782C">
              <w:rPr>
                <w:color w:val="000000" w:themeColor="text1"/>
              </w:rPr>
              <w:t>Private</w:t>
            </w:r>
          </w:p>
        </w:tc>
        <w:tc>
          <w:tcPr>
            <w:tcW w:w="1274" w:type="dxa"/>
            <w:noWrap/>
            <w:vAlign w:val="center"/>
            <w:hideMark/>
          </w:tcPr>
          <w:p w14:paraId="0E67BE02" w14:textId="77777777" w:rsidR="00C64C95" w:rsidRPr="004A782C" w:rsidRDefault="00C64C95" w:rsidP="00B27EBA">
            <w:pPr>
              <w:spacing w:line="276" w:lineRule="auto"/>
              <w:contextualSpacing/>
              <w:jc w:val="both"/>
              <w:rPr>
                <w:color w:val="000000" w:themeColor="text1"/>
              </w:rPr>
            </w:pPr>
            <w:r w:rsidRPr="004A782C">
              <w:rPr>
                <w:color w:val="000000"/>
              </w:rPr>
              <w:t>4.86</w:t>
            </w:r>
          </w:p>
        </w:tc>
        <w:tc>
          <w:tcPr>
            <w:tcW w:w="1274" w:type="dxa"/>
            <w:noWrap/>
            <w:vAlign w:val="center"/>
            <w:hideMark/>
          </w:tcPr>
          <w:p w14:paraId="3CF10228" w14:textId="77777777" w:rsidR="00C64C95" w:rsidRPr="004A782C" w:rsidRDefault="00C64C95" w:rsidP="00B27EBA">
            <w:pPr>
              <w:spacing w:line="276" w:lineRule="auto"/>
              <w:contextualSpacing/>
              <w:jc w:val="both"/>
              <w:rPr>
                <w:color w:val="000000" w:themeColor="text1"/>
              </w:rPr>
            </w:pPr>
            <w:r w:rsidRPr="004A782C">
              <w:rPr>
                <w:color w:val="000000"/>
              </w:rPr>
              <w:t>4.38</w:t>
            </w:r>
          </w:p>
        </w:tc>
        <w:tc>
          <w:tcPr>
            <w:tcW w:w="1157" w:type="dxa"/>
            <w:vAlign w:val="bottom"/>
          </w:tcPr>
          <w:p w14:paraId="04EC918D"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0298799C"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E7E0FAB" w14:textId="77777777" w:rsidR="00C64C95" w:rsidRPr="004A782C" w:rsidRDefault="00C64C95" w:rsidP="00B27EBA">
            <w:pPr>
              <w:spacing w:line="276" w:lineRule="auto"/>
              <w:contextualSpacing/>
              <w:jc w:val="both"/>
              <w:rPr>
                <w:color w:val="000000" w:themeColor="text1"/>
              </w:rPr>
            </w:pPr>
          </w:p>
        </w:tc>
      </w:tr>
      <w:tr w:rsidR="00C64C95" w:rsidRPr="004A782C" w14:paraId="39F2CBE4" w14:textId="77777777" w:rsidTr="00496B7B">
        <w:trPr>
          <w:trHeight w:val="315"/>
        </w:trPr>
        <w:tc>
          <w:tcPr>
            <w:tcW w:w="1851" w:type="dxa"/>
            <w:noWrap/>
            <w:vAlign w:val="center"/>
            <w:hideMark/>
          </w:tcPr>
          <w:p w14:paraId="6ED2DD33" w14:textId="77777777" w:rsidR="00C64C95" w:rsidRPr="004A782C" w:rsidRDefault="00C64C95" w:rsidP="00B27EBA">
            <w:pPr>
              <w:spacing w:line="276" w:lineRule="auto"/>
              <w:contextualSpacing/>
              <w:jc w:val="both"/>
              <w:rPr>
                <w:color w:val="000000" w:themeColor="text1"/>
              </w:rPr>
            </w:pPr>
            <w:r w:rsidRPr="004A782C">
              <w:rPr>
                <w:color w:val="000000" w:themeColor="text1"/>
              </w:rPr>
              <w:t>Public</w:t>
            </w:r>
          </w:p>
        </w:tc>
        <w:tc>
          <w:tcPr>
            <w:tcW w:w="1274" w:type="dxa"/>
            <w:noWrap/>
            <w:vAlign w:val="center"/>
            <w:hideMark/>
          </w:tcPr>
          <w:p w14:paraId="2A7CD348" w14:textId="77777777" w:rsidR="00C64C95" w:rsidRPr="004A782C" w:rsidRDefault="00C64C95" w:rsidP="00B27EBA">
            <w:pPr>
              <w:spacing w:line="276" w:lineRule="auto"/>
              <w:contextualSpacing/>
              <w:jc w:val="both"/>
              <w:rPr>
                <w:color w:val="000000" w:themeColor="text1"/>
              </w:rPr>
            </w:pPr>
            <w:r w:rsidRPr="004A782C">
              <w:rPr>
                <w:color w:val="000000"/>
              </w:rPr>
              <w:t>3.65</w:t>
            </w:r>
          </w:p>
        </w:tc>
        <w:tc>
          <w:tcPr>
            <w:tcW w:w="1274" w:type="dxa"/>
            <w:noWrap/>
            <w:vAlign w:val="center"/>
            <w:hideMark/>
          </w:tcPr>
          <w:p w14:paraId="11C23E69" w14:textId="77777777" w:rsidR="00C64C95" w:rsidRPr="004A782C" w:rsidRDefault="00C64C95" w:rsidP="00B27EBA">
            <w:pPr>
              <w:spacing w:line="276" w:lineRule="auto"/>
              <w:contextualSpacing/>
              <w:jc w:val="both"/>
              <w:rPr>
                <w:color w:val="000000" w:themeColor="text1"/>
              </w:rPr>
            </w:pPr>
            <w:r w:rsidRPr="004A782C">
              <w:rPr>
                <w:color w:val="000000"/>
              </w:rPr>
              <w:t>3.44</w:t>
            </w:r>
          </w:p>
        </w:tc>
        <w:tc>
          <w:tcPr>
            <w:tcW w:w="1157" w:type="dxa"/>
            <w:vAlign w:val="bottom"/>
          </w:tcPr>
          <w:p w14:paraId="63E10009"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49CB3475"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13A84885" w14:textId="77777777" w:rsidR="00C64C95" w:rsidRPr="004A782C" w:rsidRDefault="00C64C95" w:rsidP="00B27EBA">
            <w:pPr>
              <w:spacing w:line="276" w:lineRule="auto"/>
              <w:contextualSpacing/>
              <w:jc w:val="both"/>
              <w:rPr>
                <w:color w:val="000000" w:themeColor="text1"/>
              </w:rPr>
            </w:pPr>
          </w:p>
        </w:tc>
      </w:tr>
      <w:tr w:rsidR="00C64C95" w:rsidRPr="004A782C" w14:paraId="255D09B9" w14:textId="77777777" w:rsidTr="00496B7B">
        <w:trPr>
          <w:trHeight w:val="315"/>
        </w:trPr>
        <w:tc>
          <w:tcPr>
            <w:tcW w:w="1851" w:type="dxa"/>
            <w:noWrap/>
            <w:hideMark/>
          </w:tcPr>
          <w:p w14:paraId="3284BECC"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RS1 </w:t>
            </w:r>
            <w:r w:rsidRPr="004A782C">
              <w:rPr>
                <w:rFonts w:eastAsia="Times New Roman"/>
                <w:color w:val="000000" w:themeColor="text1"/>
                <w:lang w:bidi="ne-NP"/>
              </w:rPr>
              <w:t>Factor</w:t>
            </w:r>
          </w:p>
        </w:tc>
        <w:tc>
          <w:tcPr>
            <w:tcW w:w="1274" w:type="dxa"/>
            <w:noWrap/>
            <w:vAlign w:val="center"/>
            <w:hideMark/>
          </w:tcPr>
          <w:p w14:paraId="29987133"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274" w:type="dxa"/>
            <w:noWrap/>
            <w:vAlign w:val="center"/>
            <w:hideMark/>
          </w:tcPr>
          <w:p w14:paraId="583B8A3E"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157" w:type="dxa"/>
            <w:vAlign w:val="bottom"/>
          </w:tcPr>
          <w:p w14:paraId="7F3348C2"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6D7B2B51"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939B18C" w14:textId="77777777" w:rsidR="00C64C95" w:rsidRPr="004A782C" w:rsidRDefault="00C64C95" w:rsidP="00B27EBA">
            <w:pPr>
              <w:spacing w:line="276" w:lineRule="auto"/>
              <w:contextualSpacing/>
              <w:jc w:val="both"/>
              <w:rPr>
                <w:color w:val="000000" w:themeColor="text1"/>
              </w:rPr>
            </w:pPr>
          </w:p>
        </w:tc>
      </w:tr>
      <w:tr w:rsidR="00C64C95" w:rsidRPr="004A782C" w14:paraId="3A8E019A" w14:textId="77777777" w:rsidTr="00496B7B">
        <w:trPr>
          <w:trHeight w:val="300"/>
        </w:trPr>
        <w:tc>
          <w:tcPr>
            <w:tcW w:w="1851" w:type="dxa"/>
            <w:noWrap/>
            <w:vAlign w:val="center"/>
            <w:hideMark/>
          </w:tcPr>
          <w:p w14:paraId="7D4ACB14" w14:textId="77777777" w:rsidR="00C64C95" w:rsidRPr="004A782C" w:rsidRDefault="00C64C95" w:rsidP="00B27EBA">
            <w:pPr>
              <w:spacing w:line="276" w:lineRule="auto"/>
              <w:contextualSpacing/>
              <w:jc w:val="both"/>
              <w:rPr>
                <w:color w:val="000000" w:themeColor="text1"/>
              </w:rPr>
            </w:pPr>
            <w:r w:rsidRPr="004A782C">
              <w:rPr>
                <w:color w:val="000000" w:themeColor="text1"/>
              </w:rPr>
              <w:t>Government</w:t>
            </w:r>
          </w:p>
        </w:tc>
        <w:tc>
          <w:tcPr>
            <w:tcW w:w="1274" w:type="dxa"/>
            <w:noWrap/>
            <w:vAlign w:val="center"/>
            <w:hideMark/>
          </w:tcPr>
          <w:p w14:paraId="395DCC68" w14:textId="77777777" w:rsidR="00C64C95" w:rsidRPr="004A782C" w:rsidRDefault="00C64C95" w:rsidP="00B27EBA">
            <w:pPr>
              <w:spacing w:line="276" w:lineRule="auto"/>
              <w:contextualSpacing/>
              <w:jc w:val="both"/>
              <w:rPr>
                <w:color w:val="000000" w:themeColor="text1"/>
              </w:rPr>
            </w:pPr>
            <w:r w:rsidRPr="004A782C">
              <w:rPr>
                <w:color w:val="000000"/>
              </w:rPr>
              <w:t>8.25</w:t>
            </w:r>
          </w:p>
        </w:tc>
        <w:tc>
          <w:tcPr>
            <w:tcW w:w="1274" w:type="dxa"/>
            <w:noWrap/>
            <w:vAlign w:val="center"/>
            <w:hideMark/>
          </w:tcPr>
          <w:p w14:paraId="5E777B49" w14:textId="77777777" w:rsidR="00C64C95" w:rsidRPr="004A782C" w:rsidRDefault="00C64C95" w:rsidP="00B27EBA">
            <w:pPr>
              <w:spacing w:line="276" w:lineRule="auto"/>
              <w:contextualSpacing/>
              <w:jc w:val="both"/>
              <w:rPr>
                <w:color w:val="000000" w:themeColor="text1"/>
              </w:rPr>
            </w:pPr>
            <w:r w:rsidRPr="004A782C">
              <w:rPr>
                <w:color w:val="000000"/>
              </w:rPr>
              <w:t>5.80</w:t>
            </w:r>
          </w:p>
        </w:tc>
        <w:tc>
          <w:tcPr>
            <w:tcW w:w="1157" w:type="dxa"/>
            <w:vAlign w:val="center"/>
          </w:tcPr>
          <w:p w14:paraId="28C180A1" w14:textId="77777777" w:rsidR="00C64C95" w:rsidRPr="004A782C" w:rsidRDefault="00C64C95" w:rsidP="00B27EBA">
            <w:pPr>
              <w:spacing w:line="276" w:lineRule="auto"/>
              <w:contextualSpacing/>
              <w:jc w:val="both"/>
              <w:rPr>
                <w:color w:val="000000" w:themeColor="text1"/>
              </w:rPr>
            </w:pPr>
            <w:r w:rsidRPr="004A782C">
              <w:rPr>
                <w:color w:val="000000"/>
              </w:rPr>
              <w:t>0.47</w:t>
            </w:r>
          </w:p>
        </w:tc>
        <w:tc>
          <w:tcPr>
            <w:tcW w:w="1056" w:type="dxa"/>
            <w:vAlign w:val="center"/>
          </w:tcPr>
          <w:p w14:paraId="2270638D" w14:textId="77777777" w:rsidR="00C64C95" w:rsidRPr="004A782C" w:rsidRDefault="00C64C95" w:rsidP="00B27EBA">
            <w:pPr>
              <w:spacing w:line="276" w:lineRule="auto"/>
              <w:contextualSpacing/>
              <w:jc w:val="both"/>
              <w:rPr>
                <w:color w:val="000000" w:themeColor="text1"/>
              </w:rPr>
            </w:pPr>
            <w:r w:rsidRPr="004A782C">
              <w:rPr>
                <w:color w:val="000000"/>
              </w:rPr>
              <w:t>2</w:t>
            </w:r>
          </w:p>
        </w:tc>
        <w:tc>
          <w:tcPr>
            <w:tcW w:w="931" w:type="dxa"/>
            <w:gridSpan w:val="2"/>
            <w:vAlign w:val="center"/>
          </w:tcPr>
          <w:p w14:paraId="4CA7E181" w14:textId="77777777" w:rsidR="00C64C95" w:rsidRPr="004A782C" w:rsidRDefault="00C64C95" w:rsidP="00B27EBA">
            <w:pPr>
              <w:spacing w:line="276" w:lineRule="auto"/>
              <w:contextualSpacing/>
              <w:jc w:val="both"/>
              <w:rPr>
                <w:color w:val="000000" w:themeColor="text1"/>
              </w:rPr>
            </w:pPr>
            <w:r w:rsidRPr="004A782C">
              <w:rPr>
                <w:color w:val="000000"/>
              </w:rPr>
              <w:t>345</w:t>
            </w:r>
          </w:p>
        </w:tc>
        <w:tc>
          <w:tcPr>
            <w:tcW w:w="1375" w:type="dxa"/>
            <w:vAlign w:val="center"/>
          </w:tcPr>
          <w:p w14:paraId="5F82DE10" w14:textId="77777777" w:rsidR="00C64C95" w:rsidRPr="004A782C" w:rsidRDefault="00C64C95" w:rsidP="00B27EBA">
            <w:pPr>
              <w:spacing w:line="276" w:lineRule="auto"/>
              <w:contextualSpacing/>
              <w:jc w:val="both"/>
              <w:rPr>
                <w:color w:val="000000" w:themeColor="text1"/>
              </w:rPr>
            </w:pPr>
            <w:r w:rsidRPr="004A782C">
              <w:rPr>
                <w:color w:val="000000"/>
              </w:rPr>
              <w:t>0.626</w:t>
            </w:r>
          </w:p>
        </w:tc>
      </w:tr>
      <w:tr w:rsidR="00C64C95" w:rsidRPr="004A782C" w14:paraId="6F0B3028" w14:textId="77777777" w:rsidTr="00496B7B">
        <w:trPr>
          <w:trHeight w:val="300"/>
        </w:trPr>
        <w:tc>
          <w:tcPr>
            <w:tcW w:w="1851" w:type="dxa"/>
            <w:noWrap/>
            <w:vAlign w:val="center"/>
            <w:hideMark/>
          </w:tcPr>
          <w:p w14:paraId="74E03919" w14:textId="77777777" w:rsidR="00C64C95" w:rsidRPr="004A782C" w:rsidRDefault="00C64C95" w:rsidP="00B27EBA">
            <w:pPr>
              <w:spacing w:line="276" w:lineRule="auto"/>
              <w:contextualSpacing/>
              <w:jc w:val="both"/>
              <w:rPr>
                <w:color w:val="000000" w:themeColor="text1"/>
              </w:rPr>
            </w:pPr>
            <w:r w:rsidRPr="004A782C">
              <w:rPr>
                <w:color w:val="000000" w:themeColor="text1"/>
              </w:rPr>
              <w:t>Private</w:t>
            </w:r>
          </w:p>
        </w:tc>
        <w:tc>
          <w:tcPr>
            <w:tcW w:w="1274" w:type="dxa"/>
            <w:noWrap/>
            <w:vAlign w:val="center"/>
            <w:hideMark/>
          </w:tcPr>
          <w:p w14:paraId="58FB7136" w14:textId="77777777" w:rsidR="00C64C95" w:rsidRPr="004A782C" w:rsidRDefault="00C64C95" w:rsidP="00B27EBA">
            <w:pPr>
              <w:spacing w:line="276" w:lineRule="auto"/>
              <w:contextualSpacing/>
              <w:jc w:val="both"/>
              <w:rPr>
                <w:color w:val="000000" w:themeColor="text1"/>
              </w:rPr>
            </w:pPr>
            <w:r w:rsidRPr="004A782C">
              <w:rPr>
                <w:color w:val="000000"/>
              </w:rPr>
              <w:t>7.97</w:t>
            </w:r>
          </w:p>
        </w:tc>
        <w:tc>
          <w:tcPr>
            <w:tcW w:w="1274" w:type="dxa"/>
            <w:noWrap/>
            <w:vAlign w:val="center"/>
            <w:hideMark/>
          </w:tcPr>
          <w:p w14:paraId="41330BA5" w14:textId="77777777" w:rsidR="00C64C95" w:rsidRPr="004A782C" w:rsidRDefault="00C64C95" w:rsidP="00B27EBA">
            <w:pPr>
              <w:spacing w:line="276" w:lineRule="auto"/>
              <w:contextualSpacing/>
              <w:jc w:val="both"/>
              <w:rPr>
                <w:color w:val="000000" w:themeColor="text1"/>
              </w:rPr>
            </w:pPr>
            <w:r w:rsidRPr="004A782C">
              <w:rPr>
                <w:color w:val="000000"/>
              </w:rPr>
              <w:t>5.78</w:t>
            </w:r>
          </w:p>
        </w:tc>
        <w:tc>
          <w:tcPr>
            <w:tcW w:w="1157" w:type="dxa"/>
            <w:vAlign w:val="bottom"/>
          </w:tcPr>
          <w:p w14:paraId="5E52896A"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1F6E847F"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6DDDBF92" w14:textId="77777777" w:rsidR="00C64C95" w:rsidRPr="004A782C" w:rsidRDefault="00C64C95" w:rsidP="00B27EBA">
            <w:pPr>
              <w:spacing w:line="276" w:lineRule="auto"/>
              <w:contextualSpacing/>
              <w:jc w:val="both"/>
              <w:rPr>
                <w:color w:val="000000" w:themeColor="text1"/>
              </w:rPr>
            </w:pPr>
          </w:p>
        </w:tc>
      </w:tr>
      <w:tr w:rsidR="00C64C95" w:rsidRPr="004A782C" w14:paraId="1A444E0E" w14:textId="77777777" w:rsidTr="00496B7B">
        <w:trPr>
          <w:trHeight w:val="300"/>
        </w:trPr>
        <w:tc>
          <w:tcPr>
            <w:tcW w:w="1851" w:type="dxa"/>
            <w:noWrap/>
            <w:vAlign w:val="center"/>
            <w:hideMark/>
          </w:tcPr>
          <w:p w14:paraId="1B4372EF" w14:textId="77777777" w:rsidR="00C64C95" w:rsidRPr="004A782C" w:rsidRDefault="00C64C95" w:rsidP="00B27EBA">
            <w:pPr>
              <w:spacing w:line="276" w:lineRule="auto"/>
              <w:contextualSpacing/>
              <w:jc w:val="both"/>
              <w:rPr>
                <w:color w:val="000000" w:themeColor="text1"/>
              </w:rPr>
            </w:pPr>
            <w:r w:rsidRPr="004A782C">
              <w:rPr>
                <w:color w:val="000000" w:themeColor="text1"/>
              </w:rPr>
              <w:t>Public</w:t>
            </w:r>
          </w:p>
        </w:tc>
        <w:tc>
          <w:tcPr>
            <w:tcW w:w="1274" w:type="dxa"/>
            <w:noWrap/>
            <w:vAlign w:val="center"/>
            <w:hideMark/>
          </w:tcPr>
          <w:p w14:paraId="059CECCE" w14:textId="77777777" w:rsidR="00C64C95" w:rsidRPr="004A782C" w:rsidRDefault="00C64C95" w:rsidP="00B27EBA">
            <w:pPr>
              <w:spacing w:line="276" w:lineRule="auto"/>
              <w:contextualSpacing/>
              <w:jc w:val="both"/>
              <w:rPr>
                <w:color w:val="000000" w:themeColor="text1"/>
              </w:rPr>
            </w:pPr>
            <w:r w:rsidRPr="004A782C">
              <w:rPr>
                <w:color w:val="000000"/>
              </w:rPr>
              <w:t>7.64</w:t>
            </w:r>
          </w:p>
        </w:tc>
        <w:tc>
          <w:tcPr>
            <w:tcW w:w="1274" w:type="dxa"/>
            <w:noWrap/>
            <w:vAlign w:val="center"/>
            <w:hideMark/>
          </w:tcPr>
          <w:p w14:paraId="7035543A" w14:textId="77777777" w:rsidR="00C64C95" w:rsidRPr="004A782C" w:rsidRDefault="00C64C95" w:rsidP="00B27EBA">
            <w:pPr>
              <w:spacing w:line="276" w:lineRule="auto"/>
              <w:contextualSpacing/>
              <w:jc w:val="both"/>
              <w:rPr>
                <w:color w:val="000000" w:themeColor="text1"/>
              </w:rPr>
            </w:pPr>
            <w:r w:rsidRPr="004A782C">
              <w:rPr>
                <w:color w:val="000000"/>
              </w:rPr>
              <w:t>4.75</w:t>
            </w:r>
          </w:p>
        </w:tc>
        <w:tc>
          <w:tcPr>
            <w:tcW w:w="1157" w:type="dxa"/>
            <w:vAlign w:val="bottom"/>
          </w:tcPr>
          <w:p w14:paraId="48ED3A84"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4FEAC71F"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7CE5E30C" w14:textId="77777777" w:rsidR="00C64C95" w:rsidRPr="004A782C" w:rsidRDefault="00C64C95" w:rsidP="00B27EBA">
            <w:pPr>
              <w:spacing w:line="276" w:lineRule="auto"/>
              <w:contextualSpacing/>
              <w:jc w:val="both"/>
              <w:rPr>
                <w:color w:val="000000" w:themeColor="text1"/>
              </w:rPr>
            </w:pPr>
          </w:p>
        </w:tc>
      </w:tr>
      <w:tr w:rsidR="00C64C95" w:rsidRPr="004A782C" w14:paraId="720A799B" w14:textId="77777777" w:rsidTr="00496B7B">
        <w:trPr>
          <w:trHeight w:val="315"/>
        </w:trPr>
        <w:tc>
          <w:tcPr>
            <w:tcW w:w="1851" w:type="dxa"/>
            <w:noWrap/>
            <w:hideMark/>
          </w:tcPr>
          <w:p w14:paraId="49732AF4" w14:textId="77777777" w:rsidR="00C64C95" w:rsidRPr="004A782C" w:rsidRDefault="00C64C95" w:rsidP="00B27EBA">
            <w:pPr>
              <w:spacing w:line="276" w:lineRule="auto"/>
              <w:contextualSpacing/>
              <w:jc w:val="both"/>
              <w:rPr>
                <w:color w:val="000000" w:themeColor="text1"/>
              </w:rPr>
            </w:pPr>
            <w:r w:rsidRPr="004A782C">
              <w:rPr>
                <w:color w:val="000000" w:themeColor="text1"/>
              </w:rPr>
              <w:t xml:space="preserve">RS2 </w:t>
            </w:r>
            <w:r w:rsidRPr="004A782C">
              <w:rPr>
                <w:rFonts w:eastAsia="Times New Roman"/>
                <w:color w:val="000000" w:themeColor="text1"/>
                <w:lang w:bidi="ne-NP"/>
              </w:rPr>
              <w:t>Factor</w:t>
            </w:r>
          </w:p>
        </w:tc>
        <w:tc>
          <w:tcPr>
            <w:tcW w:w="1274" w:type="dxa"/>
            <w:noWrap/>
            <w:vAlign w:val="center"/>
            <w:hideMark/>
          </w:tcPr>
          <w:p w14:paraId="6243B180"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274" w:type="dxa"/>
            <w:noWrap/>
            <w:vAlign w:val="center"/>
            <w:hideMark/>
          </w:tcPr>
          <w:p w14:paraId="59FD53B0"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157" w:type="dxa"/>
            <w:vAlign w:val="bottom"/>
          </w:tcPr>
          <w:p w14:paraId="66807F1F"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6A99AF96"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24F1F9D7" w14:textId="77777777" w:rsidR="00C64C95" w:rsidRPr="004A782C" w:rsidRDefault="00C64C95" w:rsidP="00B27EBA">
            <w:pPr>
              <w:spacing w:line="276" w:lineRule="auto"/>
              <w:contextualSpacing/>
              <w:jc w:val="both"/>
              <w:rPr>
                <w:color w:val="000000" w:themeColor="text1"/>
              </w:rPr>
            </w:pPr>
          </w:p>
        </w:tc>
      </w:tr>
      <w:tr w:rsidR="00C64C95" w:rsidRPr="004A782C" w14:paraId="5012EA7A" w14:textId="77777777" w:rsidTr="00496B7B">
        <w:trPr>
          <w:trHeight w:val="300"/>
        </w:trPr>
        <w:tc>
          <w:tcPr>
            <w:tcW w:w="1851" w:type="dxa"/>
            <w:noWrap/>
            <w:vAlign w:val="center"/>
            <w:hideMark/>
          </w:tcPr>
          <w:p w14:paraId="16E81A9C" w14:textId="77777777" w:rsidR="00C64C95" w:rsidRPr="004A782C" w:rsidRDefault="00C64C95" w:rsidP="00B27EBA">
            <w:pPr>
              <w:spacing w:line="276" w:lineRule="auto"/>
              <w:contextualSpacing/>
              <w:jc w:val="both"/>
              <w:rPr>
                <w:color w:val="000000" w:themeColor="text1"/>
              </w:rPr>
            </w:pPr>
            <w:r w:rsidRPr="004A782C">
              <w:rPr>
                <w:color w:val="000000" w:themeColor="text1"/>
              </w:rPr>
              <w:t>Government</w:t>
            </w:r>
          </w:p>
        </w:tc>
        <w:tc>
          <w:tcPr>
            <w:tcW w:w="1274" w:type="dxa"/>
            <w:noWrap/>
            <w:vAlign w:val="center"/>
            <w:hideMark/>
          </w:tcPr>
          <w:p w14:paraId="61518A58" w14:textId="77777777" w:rsidR="00C64C95" w:rsidRPr="004A782C" w:rsidRDefault="00C64C95" w:rsidP="00B27EBA">
            <w:pPr>
              <w:spacing w:line="276" w:lineRule="auto"/>
              <w:contextualSpacing/>
              <w:jc w:val="both"/>
              <w:rPr>
                <w:color w:val="000000" w:themeColor="text1"/>
              </w:rPr>
            </w:pPr>
            <w:r w:rsidRPr="004A782C">
              <w:rPr>
                <w:color w:val="000000"/>
              </w:rPr>
              <w:t>5.59</w:t>
            </w:r>
          </w:p>
        </w:tc>
        <w:tc>
          <w:tcPr>
            <w:tcW w:w="1274" w:type="dxa"/>
            <w:noWrap/>
            <w:vAlign w:val="center"/>
            <w:hideMark/>
          </w:tcPr>
          <w:p w14:paraId="10352A3D" w14:textId="77777777" w:rsidR="00C64C95" w:rsidRPr="004A782C" w:rsidRDefault="00C64C95" w:rsidP="00B27EBA">
            <w:pPr>
              <w:spacing w:line="276" w:lineRule="auto"/>
              <w:contextualSpacing/>
              <w:jc w:val="both"/>
              <w:rPr>
                <w:color w:val="000000" w:themeColor="text1"/>
              </w:rPr>
            </w:pPr>
            <w:r w:rsidRPr="004A782C">
              <w:rPr>
                <w:color w:val="000000"/>
              </w:rPr>
              <w:t>4.99</w:t>
            </w:r>
          </w:p>
        </w:tc>
        <w:tc>
          <w:tcPr>
            <w:tcW w:w="1157" w:type="dxa"/>
            <w:vAlign w:val="center"/>
          </w:tcPr>
          <w:p w14:paraId="62A21896" w14:textId="77777777" w:rsidR="00C64C95" w:rsidRPr="004A782C" w:rsidRDefault="00C64C95" w:rsidP="00B27EBA">
            <w:pPr>
              <w:spacing w:line="276" w:lineRule="auto"/>
              <w:contextualSpacing/>
              <w:jc w:val="both"/>
              <w:rPr>
                <w:color w:val="000000" w:themeColor="text1"/>
              </w:rPr>
            </w:pPr>
            <w:r w:rsidRPr="004A782C">
              <w:rPr>
                <w:color w:val="000000"/>
              </w:rPr>
              <w:t>0.32</w:t>
            </w:r>
          </w:p>
        </w:tc>
        <w:tc>
          <w:tcPr>
            <w:tcW w:w="1056" w:type="dxa"/>
            <w:vAlign w:val="center"/>
          </w:tcPr>
          <w:p w14:paraId="7F9615B2" w14:textId="77777777" w:rsidR="00C64C95" w:rsidRPr="004A782C" w:rsidRDefault="00C64C95" w:rsidP="00B27EBA">
            <w:pPr>
              <w:spacing w:line="276" w:lineRule="auto"/>
              <w:contextualSpacing/>
              <w:jc w:val="both"/>
              <w:rPr>
                <w:color w:val="000000" w:themeColor="text1"/>
              </w:rPr>
            </w:pPr>
            <w:r w:rsidRPr="004A782C">
              <w:rPr>
                <w:color w:val="000000"/>
              </w:rPr>
              <w:t>2</w:t>
            </w:r>
          </w:p>
        </w:tc>
        <w:tc>
          <w:tcPr>
            <w:tcW w:w="931" w:type="dxa"/>
            <w:gridSpan w:val="2"/>
            <w:vAlign w:val="center"/>
          </w:tcPr>
          <w:p w14:paraId="3BCB3A63" w14:textId="77777777" w:rsidR="00C64C95" w:rsidRPr="004A782C" w:rsidRDefault="00C64C95" w:rsidP="00B27EBA">
            <w:pPr>
              <w:spacing w:line="276" w:lineRule="auto"/>
              <w:contextualSpacing/>
              <w:jc w:val="both"/>
              <w:rPr>
                <w:color w:val="000000" w:themeColor="text1"/>
              </w:rPr>
            </w:pPr>
            <w:r w:rsidRPr="004A782C">
              <w:rPr>
                <w:color w:val="000000"/>
              </w:rPr>
              <w:t>345</w:t>
            </w:r>
          </w:p>
        </w:tc>
        <w:tc>
          <w:tcPr>
            <w:tcW w:w="1375" w:type="dxa"/>
            <w:vAlign w:val="center"/>
          </w:tcPr>
          <w:p w14:paraId="7E8BB104" w14:textId="77777777" w:rsidR="00C64C95" w:rsidRPr="004A782C" w:rsidRDefault="00C64C95" w:rsidP="00B27EBA">
            <w:pPr>
              <w:spacing w:line="276" w:lineRule="auto"/>
              <w:contextualSpacing/>
              <w:jc w:val="both"/>
              <w:rPr>
                <w:color w:val="000000" w:themeColor="text1"/>
              </w:rPr>
            </w:pPr>
            <w:r w:rsidRPr="004A782C">
              <w:rPr>
                <w:color w:val="000000"/>
              </w:rPr>
              <w:t>0.73</w:t>
            </w:r>
          </w:p>
        </w:tc>
      </w:tr>
      <w:tr w:rsidR="00C64C95" w:rsidRPr="004A782C" w14:paraId="785BEC0E" w14:textId="77777777" w:rsidTr="00496B7B">
        <w:trPr>
          <w:trHeight w:val="300"/>
        </w:trPr>
        <w:tc>
          <w:tcPr>
            <w:tcW w:w="1851" w:type="dxa"/>
            <w:noWrap/>
            <w:vAlign w:val="center"/>
            <w:hideMark/>
          </w:tcPr>
          <w:p w14:paraId="00BA2643" w14:textId="77777777" w:rsidR="00C64C95" w:rsidRPr="004A782C" w:rsidRDefault="00C64C95" w:rsidP="00B27EBA">
            <w:pPr>
              <w:spacing w:line="276" w:lineRule="auto"/>
              <w:contextualSpacing/>
              <w:jc w:val="both"/>
              <w:rPr>
                <w:color w:val="000000" w:themeColor="text1"/>
              </w:rPr>
            </w:pPr>
            <w:r w:rsidRPr="004A782C">
              <w:rPr>
                <w:color w:val="000000" w:themeColor="text1"/>
              </w:rPr>
              <w:t>Private</w:t>
            </w:r>
          </w:p>
        </w:tc>
        <w:tc>
          <w:tcPr>
            <w:tcW w:w="1274" w:type="dxa"/>
            <w:noWrap/>
            <w:vAlign w:val="center"/>
            <w:hideMark/>
          </w:tcPr>
          <w:p w14:paraId="005A86F3" w14:textId="77777777" w:rsidR="00C64C95" w:rsidRPr="004A782C" w:rsidRDefault="00C64C95" w:rsidP="00B27EBA">
            <w:pPr>
              <w:spacing w:line="276" w:lineRule="auto"/>
              <w:contextualSpacing/>
              <w:jc w:val="both"/>
              <w:rPr>
                <w:color w:val="000000" w:themeColor="text1"/>
              </w:rPr>
            </w:pPr>
            <w:r w:rsidRPr="004A782C">
              <w:rPr>
                <w:color w:val="000000"/>
              </w:rPr>
              <w:t>5.10</w:t>
            </w:r>
          </w:p>
        </w:tc>
        <w:tc>
          <w:tcPr>
            <w:tcW w:w="1274" w:type="dxa"/>
            <w:noWrap/>
            <w:vAlign w:val="center"/>
            <w:hideMark/>
          </w:tcPr>
          <w:p w14:paraId="2BF7CB02" w14:textId="77777777" w:rsidR="00C64C95" w:rsidRPr="004A782C" w:rsidRDefault="00C64C95" w:rsidP="00B27EBA">
            <w:pPr>
              <w:spacing w:line="276" w:lineRule="auto"/>
              <w:contextualSpacing/>
              <w:jc w:val="both"/>
              <w:rPr>
                <w:color w:val="000000" w:themeColor="text1"/>
              </w:rPr>
            </w:pPr>
            <w:r w:rsidRPr="004A782C">
              <w:rPr>
                <w:color w:val="000000"/>
              </w:rPr>
              <w:t>4.78</w:t>
            </w:r>
          </w:p>
        </w:tc>
        <w:tc>
          <w:tcPr>
            <w:tcW w:w="1157" w:type="dxa"/>
            <w:vAlign w:val="bottom"/>
          </w:tcPr>
          <w:p w14:paraId="5C33C994"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49C90988"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407F8D48" w14:textId="77777777" w:rsidR="00C64C95" w:rsidRPr="004A782C" w:rsidRDefault="00C64C95" w:rsidP="00B27EBA">
            <w:pPr>
              <w:spacing w:line="276" w:lineRule="auto"/>
              <w:contextualSpacing/>
              <w:jc w:val="both"/>
              <w:rPr>
                <w:color w:val="000000" w:themeColor="text1"/>
              </w:rPr>
            </w:pPr>
          </w:p>
        </w:tc>
      </w:tr>
      <w:tr w:rsidR="00C64C95" w:rsidRPr="004A782C" w14:paraId="2781F639" w14:textId="77777777" w:rsidTr="00496B7B">
        <w:trPr>
          <w:trHeight w:val="300"/>
        </w:trPr>
        <w:tc>
          <w:tcPr>
            <w:tcW w:w="1851" w:type="dxa"/>
            <w:noWrap/>
            <w:vAlign w:val="center"/>
            <w:hideMark/>
          </w:tcPr>
          <w:p w14:paraId="797BBA50" w14:textId="77777777" w:rsidR="00C64C95" w:rsidRPr="004A782C" w:rsidRDefault="00C64C95" w:rsidP="00B27EBA">
            <w:pPr>
              <w:spacing w:line="276" w:lineRule="auto"/>
              <w:contextualSpacing/>
              <w:jc w:val="both"/>
              <w:rPr>
                <w:color w:val="000000" w:themeColor="text1"/>
              </w:rPr>
            </w:pPr>
            <w:r w:rsidRPr="004A782C">
              <w:rPr>
                <w:color w:val="000000" w:themeColor="text1"/>
              </w:rPr>
              <w:t>Public</w:t>
            </w:r>
          </w:p>
        </w:tc>
        <w:tc>
          <w:tcPr>
            <w:tcW w:w="1274" w:type="dxa"/>
            <w:noWrap/>
            <w:vAlign w:val="center"/>
            <w:hideMark/>
          </w:tcPr>
          <w:p w14:paraId="1AA77831" w14:textId="77777777" w:rsidR="00C64C95" w:rsidRPr="004A782C" w:rsidRDefault="00C64C95" w:rsidP="00B27EBA">
            <w:pPr>
              <w:spacing w:line="276" w:lineRule="auto"/>
              <w:contextualSpacing/>
              <w:jc w:val="both"/>
              <w:rPr>
                <w:color w:val="000000" w:themeColor="text1"/>
              </w:rPr>
            </w:pPr>
            <w:r w:rsidRPr="004A782C">
              <w:rPr>
                <w:color w:val="000000"/>
              </w:rPr>
              <w:t>5.61</w:t>
            </w:r>
          </w:p>
        </w:tc>
        <w:tc>
          <w:tcPr>
            <w:tcW w:w="1274" w:type="dxa"/>
            <w:noWrap/>
            <w:vAlign w:val="center"/>
            <w:hideMark/>
          </w:tcPr>
          <w:p w14:paraId="25BA9D49" w14:textId="77777777" w:rsidR="00C64C95" w:rsidRPr="004A782C" w:rsidRDefault="00C64C95" w:rsidP="00B27EBA">
            <w:pPr>
              <w:spacing w:line="276" w:lineRule="auto"/>
              <w:contextualSpacing/>
              <w:jc w:val="both"/>
              <w:rPr>
                <w:color w:val="000000" w:themeColor="text1"/>
              </w:rPr>
            </w:pPr>
            <w:r w:rsidRPr="004A782C">
              <w:rPr>
                <w:color w:val="000000"/>
              </w:rPr>
              <w:t>4.19</w:t>
            </w:r>
          </w:p>
        </w:tc>
        <w:tc>
          <w:tcPr>
            <w:tcW w:w="1157" w:type="dxa"/>
            <w:vAlign w:val="bottom"/>
          </w:tcPr>
          <w:p w14:paraId="0330B6D1"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7EE2135D"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420DD3C5" w14:textId="77777777" w:rsidR="00C64C95" w:rsidRPr="004A782C" w:rsidRDefault="00C64C95" w:rsidP="00B27EBA">
            <w:pPr>
              <w:spacing w:line="276" w:lineRule="auto"/>
              <w:contextualSpacing/>
              <w:jc w:val="both"/>
              <w:rPr>
                <w:color w:val="000000" w:themeColor="text1"/>
              </w:rPr>
            </w:pPr>
          </w:p>
        </w:tc>
      </w:tr>
      <w:tr w:rsidR="00C64C95" w:rsidRPr="004A782C" w14:paraId="3E5AE48C" w14:textId="77777777" w:rsidTr="00496B7B">
        <w:trPr>
          <w:trHeight w:val="315"/>
        </w:trPr>
        <w:tc>
          <w:tcPr>
            <w:tcW w:w="1851" w:type="dxa"/>
            <w:noWrap/>
            <w:hideMark/>
          </w:tcPr>
          <w:p w14:paraId="3FCFB163" w14:textId="797B72CA" w:rsidR="00C64C95" w:rsidRPr="004A782C" w:rsidRDefault="00C64C95" w:rsidP="00B27EBA">
            <w:pPr>
              <w:spacing w:line="276" w:lineRule="auto"/>
              <w:contextualSpacing/>
              <w:jc w:val="both"/>
              <w:rPr>
                <w:color w:val="000000" w:themeColor="text1"/>
              </w:rPr>
            </w:pPr>
            <w:r w:rsidRPr="004A782C">
              <w:rPr>
                <w:color w:val="000000" w:themeColor="text1"/>
              </w:rPr>
              <w:t>ATMHP</w:t>
            </w:r>
            <w:r w:rsidR="00C92EDD" w:rsidRPr="004A782C">
              <w:rPr>
                <w:color w:val="000000" w:themeColor="text1"/>
              </w:rPr>
              <w:t xml:space="preserve"> Total</w:t>
            </w:r>
          </w:p>
        </w:tc>
        <w:tc>
          <w:tcPr>
            <w:tcW w:w="1274" w:type="dxa"/>
            <w:noWrap/>
            <w:vAlign w:val="center"/>
            <w:hideMark/>
          </w:tcPr>
          <w:p w14:paraId="1DD50426"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274" w:type="dxa"/>
            <w:noWrap/>
            <w:vAlign w:val="center"/>
            <w:hideMark/>
          </w:tcPr>
          <w:p w14:paraId="100CEFD6" w14:textId="77777777" w:rsidR="00C64C95" w:rsidRPr="004A782C" w:rsidRDefault="00C64C95" w:rsidP="00B27EBA">
            <w:pPr>
              <w:spacing w:line="276" w:lineRule="auto"/>
              <w:contextualSpacing/>
              <w:jc w:val="both"/>
              <w:rPr>
                <w:color w:val="000000" w:themeColor="text1"/>
              </w:rPr>
            </w:pPr>
            <w:r w:rsidRPr="004A782C">
              <w:rPr>
                <w:b/>
                <w:bCs/>
                <w:color w:val="000000"/>
              </w:rPr>
              <w:t> </w:t>
            </w:r>
          </w:p>
        </w:tc>
        <w:tc>
          <w:tcPr>
            <w:tcW w:w="1157" w:type="dxa"/>
            <w:vAlign w:val="bottom"/>
          </w:tcPr>
          <w:p w14:paraId="5B59A9E6"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19D7CF7F"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0740070B" w14:textId="77777777" w:rsidR="00C64C95" w:rsidRPr="004A782C" w:rsidRDefault="00C64C95" w:rsidP="00B27EBA">
            <w:pPr>
              <w:spacing w:line="276" w:lineRule="auto"/>
              <w:contextualSpacing/>
              <w:jc w:val="both"/>
              <w:rPr>
                <w:color w:val="000000" w:themeColor="text1"/>
              </w:rPr>
            </w:pPr>
          </w:p>
        </w:tc>
      </w:tr>
      <w:tr w:rsidR="00C64C95" w:rsidRPr="004A782C" w14:paraId="03687253" w14:textId="77777777" w:rsidTr="00496B7B">
        <w:trPr>
          <w:trHeight w:val="315"/>
        </w:trPr>
        <w:tc>
          <w:tcPr>
            <w:tcW w:w="1851" w:type="dxa"/>
            <w:noWrap/>
            <w:vAlign w:val="center"/>
            <w:hideMark/>
          </w:tcPr>
          <w:p w14:paraId="3FFEA780" w14:textId="77777777" w:rsidR="00C64C95" w:rsidRPr="004A782C" w:rsidRDefault="00C64C95" w:rsidP="00B27EBA">
            <w:pPr>
              <w:spacing w:line="276" w:lineRule="auto"/>
              <w:contextualSpacing/>
              <w:jc w:val="both"/>
              <w:rPr>
                <w:color w:val="000000" w:themeColor="text1"/>
              </w:rPr>
            </w:pPr>
            <w:r w:rsidRPr="004A782C">
              <w:rPr>
                <w:color w:val="000000" w:themeColor="text1"/>
              </w:rPr>
              <w:t>Government</w:t>
            </w:r>
          </w:p>
        </w:tc>
        <w:tc>
          <w:tcPr>
            <w:tcW w:w="1274" w:type="dxa"/>
            <w:noWrap/>
            <w:vAlign w:val="center"/>
            <w:hideMark/>
          </w:tcPr>
          <w:p w14:paraId="276CAEC5" w14:textId="77777777" w:rsidR="00C64C95" w:rsidRPr="004A782C" w:rsidRDefault="00C64C95" w:rsidP="00B27EBA">
            <w:pPr>
              <w:spacing w:line="276" w:lineRule="auto"/>
              <w:contextualSpacing/>
              <w:jc w:val="both"/>
              <w:rPr>
                <w:color w:val="000000" w:themeColor="text1"/>
              </w:rPr>
            </w:pPr>
            <w:r w:rsidRPr="004A782C">
              <w:rPr>
                <w:color w:val="000000"/>
              </w:rPr>
              <w:t>35.26</w:t>
            </w:r>
          </w:p>
        </w:tc>
        <w:tc>
          <w:tcPr>
            <w:tcW w:w="1274" w:type="dxa"/>
            <w:noWrap/>
            <w:vAlign w:val="center"/>
            <w:hideMark/>
          </w:tcPr>
          <w:p w14:paraId="0F798A2B" w14:textId="77777777" w:rsidR="00C64C95" w:rsidRPr="004A782C" w:rsidRDefault="00C64C95" w:rsidP="00B27EBA">
            <w:pPr>
              <w:spacing w:line="276" w:lineRule="auto"/>
              <w:contextualSpacing/>
              <w:jc w:val="both"/>
              <w:rPr>
                <w:color w:val="000000" w:themeColor="text1"/>
              </w:rPr>
            </w:pPr>
            <w:r w:rsidRPr="004A782C">
              <w:rPr>
                <w:color w:val="000000"/>
              </w:rPr>
              <w:t>20.48</w:t>
            </w:r>
          </w:p>
        </w:tc>
        <w:tc>
          <w:tcPr>
            <w:tcW w:w="1157" w:type="dxa"/>
            <w:vAlign w:val="center"/>
          </w:tcPr>
          <w:p w14:paraId="44B65BDA" w14:textId="77777777" w:rsidR="00C64C95" w:rsidRPr="004A782C" w:rsidRDefault="00C64C95" w:rsidP="00B27EBA">
            <w:pPr>
              <w:spacing w:line="276" w:lineRule="auto"/>
              <w:contextualSpacing/>
              <w:jc w:val="both"/>
              <w:rPr>
                <w:color w:val="000000" w:themeColor="text1"/>
              </w:rPr>
            </w:pPr>
            <w:r w:rsidRPr="004A782C">
              <w:rPr>
                <w:color w:val="000000"/>
              </w:rPr>
              <w:t>0.41</w:t>
            </w:r>
          </w:p>
        </w:tc>
        <w:tc>
          <w:tcPr>
            <w:tcW w:w="1056" w:type="dxa"/>
            <w:vAlign w:val="center"/>
          </w:tcPr>
          <w:p w14:paraId="22EE97EF" w14:textId="77777777" w:rsidR="00C64C95" w:rsidRPr="004A782C" w:rsidRDefault="00C64C95" w:rsidP="00B27EBA">
            <w:pPr>
              <w:spacing w:line="276" w:lineRule="auto"/>
              <w:contextualSpacing/>
              <w:jc w:val="both"/>
              <w:rPr>
                <w:color w:val="000000" w:themeColor="text1"/>
              </w:rPr>
            </w:pPr>
            <w:r w:rsidRPr="004A782C">
              <w:rPr>
                <w:color w:val="000000"/>
              </w:rPr>
              <w:t>2</w:t>
            </w:r>
          </w:p>
        </w:tc>
        <w:tc>
          <w:tcPr>
            <w:tcW w:w="931" w:type="dxa"/>
            <w:gridSpan w:val="2"/>
            <w:vAlign w:val="center"/>
          </w:tcPr>
          <w:p w14:paraId="36476838" w14:textId="77777777" w:rsidR="00C64C95" w:rsidRPr="004A782C" w:rsidRDefault="00C64C95" w:rsidP="00B27EBA">
            <w:pPr>
              <w:spacing w:line="276" w:lineRule="auto"/>
              <w:contextualSpacing/>
              <w:jc w:val="both"/>
              <w:rPr>
                <w:color w:val="000000" w:themeColor="text1"/>
              </w:rPr>
            </w:pPr>
            <w:r w:rsidRPr="004A782C">
              <w:rPr>
                <w:color w:val="000000"/>
              </w:rPr>
              <w:t>345</w:t>
            </w:r>
          </w:p>
        </w:tc>
        <w:tc>
          <w:tcPr>
            <w:tcW w:w="1375" w:type="dxa"/>
            <w:vAlign w:val="center"/>
          </w:tcPr>
          <w:p w14:paraId="6C75EF41" w14:textId="77777777" w:rsidR="00C64C95" w:rsidRPr="004A782C" w:rsidRDefault="00C64C95" w:rsidP="00B27EBA">
            <w:pPr>
              <w:spacing w:line="276" w:lineRule="auto"/>
              <w:contextualSpacing/>
              <w:jc w:val="both"/>
              <w:rPr>
                <w:color w:val="000000" w:themeColor="text1"/>
              </w:rPr>
            </w:pPr>
            <w:r w:rsidRPr="004A782C">
              <w:rPr>
                <w:color w:val="000000"/>
              </w:rPr>
              <w:t>0.664</w:t>
            </w:r>
          </w:p>
        </w:tc>
      </w:tr>
      <w:tr w:rsidR="00C64C95" w:rsidRPr="004A782C" w14:paraId="753ABE2B" w14:textId="77777777" w:rsidTr="00496B7B">
        <w:trPr>
          <w:trHeight w:val="300"/>
        </w:trPr>
        <w:tc>
          <w:tcPr>
            <w:tcW w:w="1851" w:type="dxa"/>
            <w:noWrap/>
            <w:vAlign w:val="center"/>
            <w:hideMark/>
          </w:tcPr>
          <w:p w14:paraId="58F6883B" w14:textId="77777777" w:rsidR="00C64C95" w:rsidRPr="004A782C" w:rsidRDefault="00C64C95" w:rsidP="00B27EBA">
            <w:pPr>
              <w:spacing w:line="276" w:lineRule="auto"/>
              <w:contextualSpacing/>
              <w:jc w:val="both"/>
              <w:rPr>
                <w:color w:val="000000" w:themeColor="text1"/>
              </w:rPr>
            </w:pPr>
            <w:r w:rsidRPr="004A782C">
              <w:rPr>
                <w:color w:val="000000" w:themeColor="text1"/>
              </w:rPr>
              <w:t>Private</w:t>
            </w:r>
          </w:p>
        </w:tc>
        <w:tc>
          <w:tcPr>
            <w:tcW w:w="1274" w:type="dxa"/>
            <w:noWrap/>
            <w:vAlign w:val="center"/>
            <w:hideMark/>
          </w:tcPr>
          <w:p w14:paraId="04D5347A" w14:textId="77777777" w:rsidR="00C64C95" w:rsidRPr="004A782C" w:rsidRDefault="00C64C95" w:rsidP="00B27EBA">
            <w:pPr>
              <w:spacing w:line="276" w:lineRule="auto"/>
              <w:contextualSpacing/>
              <w:jc w:val="both"/>
              <w:rPr>
                <w:color w:val="000000" w:themeColor="text1"/>
              </w:rPr>
            </w:pPr>
            <w:r w:rsidRPr="004A782C">
              <w:rPr>
                <w:color w:val="000000"/>
              </w:rPr>
              <w:t>35.44</w:t>
            </w:r>
          </w:p>
        </w:tc>
        <w:tc>
          <w:tcPr>
            <w:tcW w:w="1274" w:type="dxa"/>
            <w:noWrap/>
            <w:vAlign w:val="center"/>
            <w:hideMark/>
          </w:tcPr>
          <w:p w14:paraId="024AD529" w14:textId="77777777" w:rsidR="00C64C95" w:rsidRPr="004A782C" w:rsidRDefault="00C64C95" w:rsidP="00B27EBA">
            <w:pPr>
              <w:spacing w:line="276" w:lineRule="auto"/>
              <w:contextualSpacing/>
              <w:jc w:val="both"/>
              <w:rPr>
                <w:color w:val="000000" w:themeColor="text1"/>
              </w:rPr>
            </w:pPr>
            <w:r w:rsidRPr="004A782C">
              <w:rPr>
                <w:color w:val="000000"/>
              </w:rPr>
              <w:t>23.23</w:t>
            </w:r>
          </w:p>
        </w:tc>
        <w:tc>
          <w:tcPr>
            <w:tcW w:w="1157" w:type="dxa"/>
            <w:vAlign w:val="bottom"/>
          </w:tcPr>
          <w:p w14:paraId="0BE03926"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33FD2393"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114A94CA" w14:textId="77777777" w:rsidR="00C64C95" w:rsidRPr="004A782C" w:rsidRDefault="00C64C95" w:rsidP="00B27EBA">
            <w:pPr>
              <w:spacing w:line="276" w:lineRule="auto"/>
              <w:contextualSpacing/>
              <w:jc w:val="both"/>
              <w:rPr>
                <w:color w:val="000000" w:themeColor="text1"/>
              </w:rPr>
            </w:pPr>
          </w:p>
        </w:tc>
      </w:tr>
      <w:tr w:rsidR="00C64C95" w:rsidRPr="004A782C" w14:paraId="3CAE0D82" w14:textId="77777777" w:rsidTr="00496B7B">
        <w:trPr>
          <w:trHeight w:val="300"/>
        </w:trPr>
        <w:tc>
          <w:tcPr>
            <w:tcW w:w="1851" w:type="dxa"/>
            <w:noWrap/>
            <w:vAlign w:val="center"/>
            <w:hideMark/>
          </w:tcPr>
          <w:p w14:paraId="699E6354" w14:textId="77777777" w:rsidR="00C64C95" w:rsidRPr="004A782C" w:rsidRDefault="00C64C95" w:rsidP="00B27EBA">
            <w:pPr>
              <w:spacing w:line="276" w:lineRule="auto"/>
              <w:contextualSpacing/>
              <w:jc w:val="both"/>
              <w:rPr>
                <w:color w:val="000000" w:themeColor="text1"/>
              </w:rPr>
            </w:pPr>
            <w:r w:rsidRPr="004A782C">
              <w:rPr>
                <w:color w:val="000000" w:themeColor="text1"/>
              </w:rPr>
              <w:t>Public</w:t>
            </w:r>
          </w:p>
        </w:tc>
        <w:tc>
          <w:tcPr>
            <w:tcW w:w="1274" w:type="dxa"/>
            <w:noWrap/>
            <w:vAlign w:val="center"/>
            <w:hideMark/>
          </w:tcPr>
          <w:p w14:paraId="7C557EBB" w14:textId="77777777" w:rsidR="00C64C95" w:rsidRPr="004A782C" w:rsidRDefault="00C64C95" w:rsidP="00B27EBA">
            <w:pPr>
              <w:spacing w:line="276" w:lineRule="auto"/>
              <w:contextualSpacing/>
              <w:jc w:val="both"/>
              <w:rPr>
                <w:color w:val="000000" w:themeColor="text1"/>
              </w:rPr>
            </w:pPr>
            <w:r w:rsidRPr="004A782C">
              <w:rPr>
                <w:color w:val="000000"/>
              </w:rPr>
              <w:t>33.43</w:t>
            </w:r>
          </w:p>
        </w:tc>
        <w:tc>
          <w:tcPr>
            <w:tcW w:w="1274" w:type="dxa"/>
            <w:noWrap/>
            <w:vAlign w:val="center"/>
            <w:hideMark/>
          </w:tcPr>
          <w:p w14:paraId="76EBB761" w14:textId="77777777" w:rsidR="00C64C95" w:rsidRPr="004A782C" w:rsidRDefault="00C64C95" w:rsidP="00B27EBA">
            <w:pPr>
              <w:spacing w:line="276" w:lineRule="auto"/>
              <w:contextualSpacing/>
              <w:jc w:val="both"/>
              <w:rPr>
                <w:color w:val="000000" w:themeColor="text1"/>
              </w:rPr>
            </w:pPr>
            <w:r w:rsidRPr="004A782C">
              <w:rPr>
                <w:color w:val="000000"/>
              </w:rPr>
              <w:t>17.33</w:t>
            </w:r>
          </w:p>
        </w:tc>
        <w:tc>
          <w:tcPr>
            <w:tcW w:w="1157" w:type="dxa"/>
            <w:vAlign w:val="bottom"/>
          </w:tcPr>
          <w:p w14:paraId="4BE6F05C" w14:textId="77777777" w:rsidR="00C64C95" w:rsidRPr="004A782C" w:rsidRDefault="00C64C95" w:rsidP="00B27EBA">
            <w:pPr>
              <w:spacing w:line="276" w:lineRule="auto"/>
              <w:contextualSpacing/>
              <w:jc w:val="both"/>
              <w:rPr>
                <w:color w:val="000000" w:themeColor="text1"/>
              </w:rPr>
            </w:pPr>
          </w:p>
        </w:tc>
        <w:tc>
          <w:tcPr>
            <w:tcW w:w="1056" w:type="dxa"/>
            <w:vAlign w:val="bottom"/>
          </w:tcPr>
          <w:p w14:paraId="759FD774" w14:textId="77777777" w:rsidR="00C64C95" w:rsidRPr="004A782C" w:rsidRDefault="00C64C95" w:rsidP="00B27EBA">
            <w:pPr>
              <w:spacing w:line="276" w:lineRule="auto"/>
              <w:contextualSpacing/>
              <w:jc w:val="both"/>
              <w:rPr>
                <w:color w:val="000000" w:themeColor="text1"/>
              </w:rPr>
            </w:pPr>
          </w:p>
        </w:tc>
        <w:tc>
          <w:tcPr>
            <w:tcW w:w="2306" w:type="dxa"/>
            <w:gridSpan w:val="3"/>
            <w:vAlign w:val="bottom"/>
          </w:tcPr>
          <w:p w14:paraId="10197BC6" w14:textId="77777777" w:rsidR="00C64C95" w:rsidRPr="004A782C" w:rsidRDefault="00C64C95" w:rsidP="00B27EBA">
            <w:pPr>
              <w:spacing w:line="276" w:lineRule="auto"/>
              <w:contextualSpacing/>
              <w:jc w:val="both"/>
              <w:rPr>
                <w:color w:val="000000" w:themeColor="text1"/>
              </w:rPr>
            </w:pPr>
          </w:p>
        </w:tc>
      </w:tr>
    </w:tbl>
    <w:p w14:paraId="39821715" w14:textId="77777777" w:rsidR="00323E11" w:rsidRPr="004A782C" w:rsidRDefault="00C64C95" w:rsidP="00B27EBA">
      <w:pPr>
        <w:spacing w:after="0"/>
        <w:contextualSpacing/>
        <w:jc w:val="both"/>
        <w:rPr>
          <w:rFonts w:eastAsia="Times New Roman"/>
          <w:b/>
          <w:color w:val="FF0000"/>
          <w:lang w:bidi="ne-NP"/>
        </w:rPr>
      </w:pPr>
      <w:r w:rsidRPr="004A782C">
        <w:rPr>
          <w:rFonts w:eastAsia="Times New Roman"/>
          <w:bCs/>
          <w:color w:val="000000" w:themeColor="text1"/>
          <w:lang w:bidi="ne-NP"/>
        </w:rPr>
        <w:t xml:space="preserve">* </w:t>
      </w:r>
      <w:r w:rsidRPr="004A782C">
        <w:rPr>
          <w:rFonts w:eastAsia="Times New Roman"/>
          <w:bCs/>
          <w:i/>
          <w:iCs/>
          <w:color w:val="000000" w:themeColor="text1"/>
          <w:lang w:bidi="ne-NP"/>
        </w:rPr>
        <w:t xml:space="preserve">p </w:t>
      </w:r>
      <w:r w:rsidRPr="004A782C">
        <w:rPr>
          <w:rFonts w:eastAsia="Times New Roman"/>
          <w:bCs/>
          <w:color w:val="000000" w:themeColor="text1"/>
          <w:lang w:bidi="ne-NP"/>
        </w:rPr>
        <w:t>&lt; .05</w:t>
      </w:r>
      <w:r w:rsidR="00323E11" w:rsidRPr="004A782C">
        <w:rPr>
          <w:rFonts w:eastAsia="Times New Roman"/>
          <w:bCs/>
          <w:color w:val="000000" w:themeColor="text1"/>
          <w:lang w:bidi="ne-NP"/>
        </w:rPr>
        <w:t xml:space="preserve">. </w:t>
      </w:r>
      <w:r w:rsidRPr="004A782C">
        <w:rPr>
          <w:rFonts w:eastAsia="Times New Roman"/>
          <w:bCs/>
          <w:i/>
          <w:iCs/>
          <w:color w:val="000000" w:themeColor="text1"/>
          <w:lang w:bidi="ne-NP"/>
        </w:rPr>
        <w:t>Note</w:t>
      </w:r>
      <w:r w:rsidRPr="004A782C">
        <w:rPr>
          <w:rFonts w:eastAsia="Times New Roman"/>
          <w:bCs/>
          <w:color w:val="000000" w:themeColor="text1"/>
          <w:lang w:bidi="ne-NP"/>
        </w:rPr>
        <w:t>: P-value and confidence intervals adjusted for comparing a family of 3 estimates (confidence intervals corrected using the Tukey method)</w:t>
      </w:r>
      <w:r w:rsidR="00323E11" w:rsidRPr="004A782C">
        <w:rPr>
          <w:rFonts w:eastAsia="Times New Roman"/>
          <w:bCs/>
          <w:color w:val="000000" w:themeColor="text1"/>
          <w:lang w:bidi="ne-NP"/>
        </w:rPr>
        <w:t>. ATMHP: attitudes towards mental health problems; ES: external shame; IS: internal shame, Reflected Shame 1: shame about how it affects family; Reflected Shame 2: shame about how it affects oneself.</w:t>
      </w:r>
    </w:p>
    <w:p w14:paraId="7378946E" w14:textId="598F1FE8" w:rsidR="0043671D" w:rsidRPr="004A782C" w:rsidRDefault="00642CEE" w:rsidP="00B27EBA">
      <w:pPr>
        <w:spacing w:after="0"/>
        <w:ind w:firstLine="720"/>
        <w:contextualSpacing/>
        <w:jc w:val="both"/>
        <w:rPr>
          <w:b/>
          <w:bCs/>
          <w:color w:val="FF0000"/>
          <w:lang w:bidi="ne-NP"/>
        </w:rPr>
      </w:pPr>
      <w:bookmarkStart w:id="19" w:name="_Hlk91947405"/>
      <w:bookmarkStart w:id="20" w:name="_Toc128114184"/>
      <w:bookmarkEnd w:id="15"/>
      <w:bookmarkEnd w:id="16"/>
      <w:bookmarkEnd w:id="17"/>
      <w:bookmarkEnd w:id="18"/>
      <w:r w:rsidRPr="004A782C">
        <w:rPr>
          <w:color w:val="000000" w:themeColor="text1"/>
          <w:lang w:bidi="ne-NP"/>
        </w:rPr>
        <w:t>I found</w:t>
      </w:r>
      <w:r w:rsidR="00180A05" w:rsidRPr="004A782C">
        <w:rPr>
          <w:color w:val="000000" w:themeColor="text1"/>
          <w:lang w:bidi="ne-NP"/>
        </w:rPr>
        <w:t xml:space="preserve"> unfavorable attitudes towards mental health problems within both religious groups</w:t>
      </w:r>
      <w:r w:rsidRPr="004A782C">
        <w:rPr>
          <w:color w:val="000000" w:themeColor="text1"/>
          <w:lang w:bidi="ne-NP"/>
        </w:rPr>
        <w:t xml:space="preserve"> with</w:t>
      </w:r>
      <w:r w:rsidR="00D413FA" w:rsidRPr="004A782C">
        <w:rPr>
          <w:lang w:bidi="ne-NP"/>
        </w:rPr>
        <w:t xml:space="preserve"> non-significant difference between </w:t>
      </w:r>
      <w:r w:rsidR="0043671D" w:rsidRPr="004A782C">
        <w:rPr>
          <w:lang w:bidi="ne-NP"/>
        </w:rPr>
        <w:t xml:space="preserve">Hindu and others </w:t>
      </w:r>
      <w:r w:rsidR="00517C87" w:rsidRPr="004A782C">
        <w:rPr>
          <w:rFonts w:eastAsia="Times New Roman"/>
          <w:color w:val="000000" w:themeColor="text1"/>
          <w:lang w:bidi="ne-NP"/>
        </w:rPr>
        <w:t>in the level of ATMHP</w:t>
      </w:r>
      <w:r w:rsidR="0043671D" w:rsidRPr="004A782C">
        <w:rPr>
          <w:lang w:bidi="ne-NP"/>
        </w:rPr>
        <w:t xml:space="preserve">. The difference the religious groups was non-significant in all the dimensions in ATMHP </w:t>
      </w:r>
      <w:r w:rsidR="0043671D" w:rsidRPr="004A782C">
        <w:rPr>
          <w:color w:val="000000" w:themeColor="text1"/>
          <w:lang w:bidi="ne-NP"/>
        </w:rPr>
        <w:t>(</w:t>
      </w:r>
      <w:r w:rsidR="00D73ABC" w:rsidRPr="004A782C">
        <w:rPr>
          <w:color w:val="000000" w:themeColor="text1"/>
          <w:lang w:bidi="ne-NP"/>
        </w:rPr>
        <w:t>Table 3</w:t>
      </w:r>
      <w:r w:rsidR="0043671D" w:rsidRPr="004A782C">
        <w:rPr>
          <w:color w:val="000000" w:themeColor="text1"/>
          <w:lang w:bidi="ne-NP"/>
        </w:rPr>
        <w:t>).</w:t>
      </w:r>
    </w:p>
    <w:p w14:paraId="494CA0C0" w14:textId="61933C4E" w:rsidR="00C344CD" w:rsidRPr="004A782C" w:rsidRDefault="00180A05" w:rsidP="00B27EBA">
      <w:pPr>
        <w:spacing w:after="0"/>
        <w:ind w:firstLine="720"/>
        <w:contextualSpacing/>
        <w:jc w:val="both"/>
        <w:rPr>
          <w:b/>
          <w:bCs/>
          <w:color w:val="FF0000"/>
        </w:rPr>
      </w:pPr>
      <w:bookmarkStart w:id="21" w:name="_Toc109485405"/>
      <w:bookmarkStart w:id="22" w:name="_Toc101805981"/>
      <w:bookmarkStart w:id="23" w:name="_Toc106895045"/>
      <w:bookmarkStart w:id="24" w:name="_Toc100257859"/>
      <w:bookmarkEnd w:id="19"/>
      <w:bookmarkEnd w:id="20"/>
      <w:r w:rsidRPr="004A782C">
        <w:rPr>
          <w:rFonts w:eastAsia="Times New Roman"/>
          <w:color w:val="000000" w:themeColor="text1"/>
          <w:lang w:bidi="ne-NP"/>
        </w:rPr>
        <w:t xml:space="preserve">Participants with both a bachelor's degree and a high school degree demonstrated </w:t>
      </w:r>
      <w:proofErr w:type="spellStart"/>
      <w:r w:rsidR="00484322" w:rsidRPr="004A782C">
        <w:rPr>
          <w:rFonts w:eastAsia="Times New Roman"/>
          <w:color w:val="000000" w:themeColor="text1"/>
          <w:lang w:bidi="ne-NP"/>
        </w:rPr>
        <w:t>unfavourable</w:t>
      </w:r>
      <w:proofErr w:type="spellEnd"/>
      <w:r w:rsidRPr="004A782C">
        <w:rPr>
          <w:rFonts w:eastAsia="Times New Roman"/>
          <w:color w:val="000000" w:themeColor="text1"/>
          <w:lang w:bidi="ne-NP"/>
        </w:rPr>
        <w:t xml:space="preserve"> attitudes </w:t>
      </w:r>
      <w:r w:rsidR="00642CEE" w:rsidRPr="004A782C">
        <w:rPr>
          <w:rFonts w:eastAsia="Times New Roman"/>
          <w:color w:val="000000" w:themeColor="text1"/>
          <w:lang w:bidi="ne-NP"/>
        </w:rPr>
        <w:t>towards mental health problems. I</w:t>
      </w:r>
      <w:r w:rsidR="006A1EAA" w:rsidRPr="004A782C">
        <w:rPr>
          <w:rFonts w:eastAsia="Times New Roman"/>
          <w:color w:val="000000" w:themeColor="text1"/>
          <w:lang w:bidi="ne-NP"/>
        </w:rPr>
        <w:t xml:space="preserve"> found that the difference was</w:t>
      </w:r>
      <w:r w:rsidR="00C344CD" w:rsidRPr="004A782C">
        <w:rPr>
          <w:rFonts w:eastAsia="Times New Roman"/>
          <w:color w:val="000000" w:themeColor="text1"/>
          <w:lang w:bidi="ne-NP"/>
        </w:rPr>
        <w:t xml:space="preserve"> </w:t>
      </w:r>
      <w:r w:rsidR="006A1EAA" w:rsidRPr="004A782C">
        <w:rPr>
          <w:rFonts w:eastAsia="Times New Roman"/>
          <w:color w:val="000000" w:themeColor="text1"/>
          <w:lang w:bidi="ne-NP"/>
        </w:rPr>
        <w:t xml:space="preserve">non-significant between </w:t>
      </w:r>
      <w:r w:rsidR="006A1EAA" w:rsidRPr="004A782C">
        <w:rPr>
          <w:rFonts w:eastAsia="Times New Roman"/>
          <w:color w:val="000000" w:themeColor="text1"/>
        </w:rPr>
        <w:t xml:space="preserve">the participants from </w:t>
      </w:r>
      <w:r w:rsidR="006A1EAA" w:rsidRPr="004A782C">
        <w:rPr>
          <w:rFonts w:eastAsia="Times New Roman"/>
          <w:color w:val="000000" w:themeColor="text1"/>
          <w:lang w:bidi="ne-NP"/>
        </w:rPr>
        <w:t>bachelor</w:t>
      </w:r>
      <w:r w:rsidR="00E34030" w:rsidRPr="004A782C">
        <w:rPr>
          <w:rFonts w:eastAsia="Times New Roman"/>
          <w:color w:val="000000" w:themeColor="text1"/>
          <w:lang w:bidi="ne-NP"/>
        </w:rPr>
        <w:t>'</w:t>
      </w:r>
      <w:r w:rsidR="006A1EAA" w:rsidRPr="004A782C">
        <w:rPr>
          <w:rFonts w:eastAsia="Times New Roman"/>
          <w:color w:val="000000" w:themeColor="text1"/>
          <w:lang w:bidi="ne-NP"/>
        </w:rPr>
        <w:t xml:space="preserve">s degree and high school degree </w:t>
      </w:r>
      <w:r w:rsidR="00517C87" w:rsidRPr="004A782C">
        <w:rPr>
          <w:rFonts w:eastAsia="Times New Roman"/>
          <w:color w:val="000000" w:themeColor="text1"/>
          <w:lang w:bidi="ne-NP"/>
        </w:rPr>
        <w:t xml:space="preserve">in the level of </w:t>
      </w:r>
      <w:r w:rsidR="006A1EAA" w:rsidRPr="004A782C">
        <w:rPr>
          <w:color w:val="000000" w:themeColor="text1"/>
        </w:rPr>
        <w:t>ATMHP.</w:t>
      </w:r>
      <w:r w:rsidR="00A416AD" w:rsidRPr="004A782C">
        <w:rPr>
          <w:color w:val="000000" w:themeColor="text1"/>
        </w:rPr>
        <w:t xml:space="preserve"> The difference was non-significant between these two variabl</w:t>
      </w:r>
      <w:r w:rsidR="00604225" w:rsidRPr="004A782C">
        <w:rPr>
          <w:color w:val="000000" w:themeColor="text1"/>
        </w:rPr>
        <w:t>es in all the factors in ATMHP</w:t>
      </w:r>
      <w:r w:rsidR="000159DC" w:rsidRPr="004A782C">
        <w:rPr>
          <w:color w:val="000000" w:themeColor="text1"/>
        </w:rPr>
        <w:t xml:space="preserve"> </w:t>
      </w:r>
      <w:r w:rsidR="00D73ABC" w:rsidRPr="004A782C">
        <w:rPr>
          <w:color w:val="000000" w:themeColor="text1"/>
        </w:rPr>
        <w:t>(Table 3</w:t>
      </w:r>
      <w:r w:rsidR="000159DC" w:rsidRPr="004A782C">
        <w:rPr>
          <w:color w:val="000000" w:themeColor="text1"/>
        </w:rPr>
        <w:t>)</w:t>
      </w:r>
      <w:r w:rsidR="00604225" w:rsidRPr="004A782C">
        <w:rPr>
          <w:color w:val="000000" w:themeColor="text1"/>
        </w:rPr>
        <w:t>.</w:t>
      </w:r>
      <w:r w:rsidR="00604225" w:rsidRPr="004A782C">
        <w:rPr>
          <w:b/>
          <w:bCs/>
          <w:color w:val="000000" w:themeColor="text1"/>
        </w:rPr>
        <w:t xml:space="preserve"> </w:t>
      </w:r>
    </w:p>
    <w:bookmarkEnd w:id="21"/>
    <w:bookmarkEnd w:id="22"/>
    <w:bookmarkEnd w:id="23"/>
    <w:bookmarkEnd w:id="24"/>
    <w:p w14:paraId="2F125292" w14:textId="04211B55" w:rsidR="00A951D0" w:rsidRPr="004A782C" w:rsidRDefault="00642CEE" w:rsidP="00B27EBA">
      <w:pPr>
        <w:spacing w:after="0"/>
        <w:ind w:firstLine="720"/>
        <w:contextualSpacing/>
        <w:jc w:val="both"/>
        <w:rPr>
          <w:lang w:bidi="ne-NP"/>
        </w:rPr>
      </w:pPr>
      <w:r w:rsidRPr="004A782C">
        <w:rPr>
          <w:rFonts w:eastAsia="Times New Roman"/>
          <w:color w:val="000000" w:themeColor="text1"/>
          <w:lang w:bidi="ne-NP"/>
        </w:rPr>
        <w:t>I</w:t>
      </w:r>
      <w:r w:rsidR="00F6299F" w:rsidRPr="004A782C">
        <w:rPr>
          <w:rFonts w:eastAsia="Times New Roman"/>
          <w:color w:val="000000" w:themeColor="text1"/>
          <w:lang w:bidi="ne-NP"/>
        </w:rPr>
        <w:t xml:space="preserve"> observed </w:t>
      </w:r>
      <w:proofErr w:type="spellStart"/>
      <w:r w:rsidR="00F6299F" w:rsidRPr="004A782C">
        <w:rPr>
          <w:rFonts w:eastAsia="Times New Roman"/>
          <w:color w:val="000000" w:themeColor="text1"/>
          <w:lang w:bidi="ne-NP"/>
        </w:rPr>
        <w:t>unfavourable</w:t>
      </w:r>
      <w:proofErr w:type="spellEnd"/>
      <w:r w:rsidR="00F6299F" w:rsidRPr="004A782C">
        <w:rPr>
          <w:rFonts w:eastAsia="Times New Roman"/>
          <w:color w:val="000000" w:themeColor="text1"/>
          <w:lang w:bidi="ne-NP"/>
        </w:rPr>
        <w:t xml:space="preserve"> attitudes towards mental health problems in participants from the first two years and the last two ye</w:t>
      </w:r>
      <w:r w:rsidR="004E715E" w:rsidRPr="004A782C">
        <w:rPr>
          <w:rFonts w:eastAsia="Times New Roman"/>
          <w:color w:val="000000" w:themeColor="text1"/>
          <w:lang w:bidi="ne-NP"/>
        </w:rPr>
        <w:t>ars</w:t>
      </w:r>
      <w:r w:rsidR="00A951D0" w:rsidRPr="004A782C">
        <w:rPr>
          <w:rFonts w:eastAsia="Times New Roman"/>
          <w:color w:val="000000" w:themeColor="text1"/>
          <w:lang w:bidi="ne-NP"/>
        </w:rPr>
        <w:t xml:space="preserve">, with non-significant difference between these two groups. </w:t>
      </w:r>
      <w:r w:rsidRPr="004A782C">
        <w:rPr>
          <w:rFonts w:eastAsia="Times New Roman"/>
          <w:color w:val="000000" w:themeColor="text1"/>
          <w:lang w:bidi="ne-NP"/>
        </w:rPr>
        <w:t>I</w:t>
      </w:r>
      <w:r w:rsidR="00EB5B1C" w:rsidRPr="004A782C">
        <w:rPr>
          <w:rFonts w:eastAsia="Times New Roman"/>
          <w:color w:val="000000" w:themeColor="text1"/>
          <w:lang w:bidi="ne-NP"/>
        </w:rPr>
        <w:t xml:space="preserve"> also observed non-significant difference between the first two years and the last two years in all the factors</w:t>
      </w:r>
      <w:r w:rsidR="00A951D0" w:rsidRPr="004A782C">
        <w:rPr>
          <w:rFonts w:eastAsia="Times New Roman"/>
          <w:color w:val="000000" w:themeColor="text1"/>
          <w:lang w:bidi="ne-NP"/>
        </w:rPr>
        <w:t xml:space="preserve"> </w:t>
      </w:r>
      <w:r w:rsidR="00D73ABC" w:rsidRPr="004A782C">
        <w:rPr>
          <w:rFonts w:eastAsia="Times New Roman"/>
          <w:color w:val="000000" w:themeColor="text1"/>
          <w:lang w:bidi="ne-NP"/>
        </w:rPr>
        <w:t>(Table 3</w:t>
      </w:r>
      <w:r w:rsidR="00A951D0" w:rsidRPr="004A782C">
        <w:rPr>
          <w:rFonts w:eastAsia="Times New Roman"/>
          <w:color w:val="000000" w:themeColor="text1"/>
          <w:lang w:bidi="ne-NP"/>
        </w:rPr>
        <w:t>)</w:t>
      </w:r>
      <w:r w:rsidR="000159DC" w:rsidRPr="004A782C">
        <w:rPr>
          <w:rFonts w:eastAsia="Times New Roman"/>
          <w:color w:val="000000" w:themeColor="text1"/>
          <w:lang w:bidi="ne-NP"/>
        </w:rPr>
        <w:t>.</w:t>
      </w:r>
      <w:r w:rsidR="000159DC" w:rsidRPr="004A782C">
        <w:rPr>
          <w:rFonts w:eastAsia="Times New Roman"/>
          <w:b/>
          <w:bCs/>
          <w:color w:val="000000" w:themeColor="text1"/>
          <w:lang w:bidi="ne-NP"/>
        </w:rPr>
        <w:t xml:space="preserve"> </w:t>
      </w:r>
      <w:r w:rsidR="00C344CD" w:rsidRPr="004A782C">
        <w:rPr>
          <w:b/>
          <w:bCs/>
          <w:color w:val="FF0000"/>
          <w:lang w:bidi="ne-NP"/>
        </w:rPr>
        <w:tab/>
      </w:r>
      <w:bookmarkStart w:id="25" w:name="_Toc128069829"/>
      <w:bookmarkStart w:id="26" w:name="_Toc109485408"/>
      <w:bookmarkStart w:id="27" w:name="_Toc101805984"/>
      <w:bookmarkStart w:id="28" w:name="_Toc106895048"/>
    </w:p>
    <w:bookmarkEnd w:id="25"/>
    <w:bookmarkEnd w:id="26"/>
    <w:bookmarkEnd w:id="27"/>
    <w:bookmarkEnd w:id="28"/>
    <w:p w14:paraId="68790B5D" w14:textId="544C1AE7" w:rsidR="00D40AC6" w:rsidRPr="004A782C" w:rsidRDefault="00642CEE" w:rsidP="00B27EBA">
      <w:pPr>
        <w:spacing w:after="0"/>
        <w:ind w:firstLine="720"/>
        <w:contextualSpacing/>
        <w:jc w:val="both"/>
      </w:pPr>
      <w:r w:rsidRPr="004A782C">
        <w:rPr>
          <w:color w:val="000000" w:themeColor="text1"/>
          <w:lang w:bidi="ne-NP"/>
        </w:rPr>
        <w:t>I</w:t>
      </w:r>
      <w:r w:rsidR="007B5AB8" w:rsidRPr="004A782C">
        <w:rPr>
          <w:color w:val="000000" w:themeColor="text1"/>
          <w:lang w:bidi="ne-NP"/>
        </w:rPr>
        <w:t xml:space="preserve"> found </w:t>
      </w:r>
      <w:proofErr w:type="spellStart"/>
      <w:r w:rsidR="007B5AB8" w:rsidRPr="004A782C">
        <w:rPr>
          <w:color w:val="000000" w:themeColor="text1"/>
          <w:lang w:bidi="ne-NP"/>
        </w:rPr>
        <w:t>unfavourable</w:t>
      </w:r>
      <w:proofErr w:type="spellEnd"/>
      <w:r w:rsidR="007B5AB8" w:rsidRPr="004A782C">
        <w:rPr>
          <w:color w:val="000000" w:themeColor="text1"/>
          <w:lang w:bidi="ne-NP"/>
        </w:rPr>
        <w:t xml:space="preserve"> attitudes towards mental health problems among participants from government, private and public academic institutions</w:t>
      </w:r>
      <w:r w:rsidR="004B18AA" w:rsidRPr="004A782C">
        <w:rPr>
          <w:color w:val="000000" w:themeColor="text1"/>
          <w:lang w:bidi="ne-NP"/>
        </w:rPr>
        <w:t xml:space="preserve"> with non-significant difference in the level of global ATMHP</w:t>
      </w:r>
      <w:r w:rsidR="001C3A1C" w:rsidRPr="004A782C">
        <w:rPr>
          <w:color w:val="000000" w:themeColor="text1"/>
          <w:lang w:bidi="ne-NP"/>
        </w:rPr>
        <w:t>.</w:t>
      </w:r>
      <w:r w:rsidR="004B18AA" w:rsidRPr="004A782C">
        <w:rPr>
          <w:color w:val="000000" w:themeColor="text1"/>
          <w:lang w:bidi="ne-NP"/>
        </w:rPr>
        <w:t xml:space="preserve"> </w:t>
      </w:r>
      <w:bookmarkStart w:id="29" w:name="_Toc128069831"/>
      <w:r w:rsidR="007B5AB8" w:rsidRPr="004A782C">
        <w:t>The difference among the groups was non-significant in all the factors in ATMHP except IS factor. In IS factor, the difference was significant among government</w:t>
      </w:r>
      <w:r w:rsidR="001C3A1C" w:rsidRPr="004A782C">
        <w:t>,</w:t>
      </w:r>
      <w:r w:rsidR="007B5AB8" w:rsidRPr="004A782C">
        <w:t xml:space="preserve"> private and public</w:t>
      </w:r>
      <w:r w:rsidR="001C3A1C" w:rsidRPr="004A782C">
        <w:t xml:space="preserve"> </w:t>
      </w:r>
      <w:r w:rsidR="001C3A1C" w:rsidRPr="004A782C">
        <w:rPr>
          <w:color w:val="000000" w:themeColor="text1"/>
          <w:lang w:bidi="ne-NP"/>
        </w:rPr>
        <w:t>(see table 5)</w:t>
      </w:r>
      <w:r w:rsidR="001C3A1C" w:rsidRPr="004A782C">
        <w:t xml:space="preserve">. </w:t>
      </w:r>
      <w:proofErr w:type="spellStart"/>
      <w:r w:rsidR="001C3A1C" w:rsidRPr="004A782C">
        <w:t>Scheffé’s</w:t>
      </w:r>
      <w:proofErr w:type="spellEnd"/>
      <w:r w:rsidR="001C3A1C" w:rsidRPr="004A782C">
        <w:t xml:space="preserve"> HSD found</w:t>
      </w:r>
      <w:r w:rsidR="00F67FDC" w:rsidRPr="004A782C">
        <w:t xml:space="preserve"> significant difference between the </w:t>
      </w:r>
      <w:r w:rsidR="00F67FDC" w:rsidRPr="004A782C">
        <w:lastRenderedPageBreak/>
        <w:t>participants from government institution (</w:t>
      </w:r>
      <w:r w:rsidR="00F67FDC" w:rsidRPr="004A782C">
        <w:rPr>
          <w:i/>
          <w:iCs/>
        </w:rPr>
        <w:t>N</w:t>
      </w:r>
      <w:r w:rsidR="00F67FDC" w:rsidRPr="004A782C">
        <w:t xml:space="preserve"> = </w:t>
      </w:r>
      <w:r w:rsidR="00323F6D" w:rsidRPr="004A782C">
        <w:t>114</w:t>
      </w:r>
      <w:r w:rsidR="00F67FDC" w:rsidRPr="004A782C">
        <w:t>) and private institution (</w:t>
      </w:r>
      <w:r w:rsidR="00F67FDC" w:rsidRPr="004A782C">
        <w:rPr>
          <w:i/>
          <w:iCs/>
        </w:rPr>
        <w:t>N</w:t>
      </w:r>
      <w:r w:rsidR="00F67FDC" w:rsidRPr="004A782C">
        <w:t xml:space="preserve"> = </w:t>
      </w:r>
      <w:r w:rsidR="00323F6D" w:rsidRPr="004A782C">
        <w:t>63</w:t>
      </w:r>
      <w:r w:rsidR="00F67FDC" w:rsidRPr="004A782C">
        <w:t xml:space="preserve">), </w:t>
      </w:r>
      <w:r w:rsidR="00F67FDC" w:rsidRPr="004A782C">
        <w:rPr>
          <w:i/>
          <w:iCs/>
        </w:rPr>
        <w:t>p</w:t>
      </w:r>
      <w:r w:rsidR="00323F6D" w:rsidRPr="004A782C">
        <w:t xml:space="preserve"> = 0.043*</w:t>
      </w:r>
      <w:r w:rsidR="00F67FDC" w:rsidRPr="004A782C">
        <w:t>, 95% CI [- 2.</w:t>
      </w:r>
      <w:r w:rsidR="00323F6D" w:rsidRPr="004A782C">
        <w:t>81, - 0.095</w:t>
      </w:r>
      <w:r w:rsidR="00F67FDC" w:rsidRPr="004A782C">
        <w:t>]</w:t>
      </w:r>
      <w:r w:rsidR="00DD4DEF" w:rsidRPr="004A782C">
        <w:t>.</w:t>
      </w:r>
    </w:p>
    <w:p w14:paraId="57E1A036" w14:textId="63495EF9" w:rsidR="00837A18" w:rsidRPr="004A782C" w:rsidRDefault="001C3A1C" w:rsidP="00B27EBA">
      <w:pPr>
        <w:spacing w:after="0"/>
        <w:ind w:firstLine="720"/>
        <w:contextualSpacing/>
        <w:jc w:val="both"/>
        <w:rPr>
          <w:b/>
          <w:bCs/>
          <w:color w:val="000000" w:themeColor="text1"/>
        </w:rPr>
      </w:pPr>
      <w:bookmarkStart w:id="30" w:name="_Toc128069833"/>
      <w:bookmarkStart w:id="31" w:name="_Toc109485410"/>
      <w:bookmarkStart w:id="32" w:name="_Toc101805986"/>
      <w:bookmarkStart w:id="33" w:name="_Toc106895050"/>
      <w:bookmarkEnd w:id="29"/>
      <w:r w:rsidRPr="004A782C">
        <w:rPr>
          <w:color w:val="000000" w:themeColor="text1"/>
          <w:lang w:bidi="ne-NP"/>
        </w:rPr>
        <w:t>Participants who knew people with mental health problems</w:t>
      </w:r>
      <w:r w:rsidR="00EF2827" w:rsidRPr="004A782C">
        <w:rPr>
          <w:color w:val="000000" w:themeColor="text1"/>
          <w:lang w:bidi="ne-NP"/>
        </w:rPr>
        <w:t xml:space="preserve"> and </w:t>
      </w:r>
      <w:r w:rsidR="00506F37" w:rsidRPr="004A782C">
        <w:rPr>
          <w:color w:val="000000" w:themeColor="text1"/>
          <w:lang w:bidi="ne-NP"/>
        </w:rPr>
        <w:t xml:space="preserve">participants who did </w:t>
      </w:r>
      <w:r w:rsidRPr="004A782C">
        <w:rPr>
          <w:color w:val="000000" w:themeColor="text1"/>
          <w:lang w:bidi="ne-NP"/>
        </w:rPr>
        <w:t>not know people with mental health problems</w:t>
      </w:r>
      <w:r w:rsidR="00EF2827" w:rsidRPr="004A782C">
        <w:rPr>
          <w:color w:val="000000" w:themeColor="text1"/>
          <w:lang w:bidi="ne-NP"/>
        </w:rPr>
        <w:t xml:space="preserve"> showed </w:t>
      </w:r>
      <w:proofErr w:type="spellStart"/>
      <w:r w:rsidR="00EF2827" w:rsidRPr="004A782C">
        <w:rPr>
          <w:color w:val="000000" w:themeColor="text1"/>
          <w:lang w:bidi="ne-NP"/>
        </w:rPr>
        <w:t>unfavourable</w:t>
      </w:r>
      <w:proofErr w:type="spellEnd"/>
      <w:r w:rsidR="00EF2827" w:rsidRPr="004A782C">
        <w:rPr>
          <w:color w:val="000000" w:themeColor="text1"/>
          <w:lang w:bidi="ne-NP"/>
        </w:rPr>
        <w:t xml:space="preserve"> attitudes </w:t>
      </w:r>
      <w:r w:rsidRPr="004A782C">
        <w:rPr>
          <w:color w:val="000000" w:themeColor="text1"/>
          <w:lang w:bidi="ne-NP"/>
        </w:rPr>
        <w:t>towards mental health problems; however, the difference was non-significant between the groups in the global ATMHP inclu</w:t>
      </w:r>
      <w:r w:rsidR="00D73ABC" w:rsidRPr="004A782C">
        <w:rPr>
          <w:color w:val="000000" w:themeColor="text1"/>
          <w:lang w:bidi="ne-NP"/>
        </w:rPr>
        <w:t>ding its dimensions (Table 3</w:t>
      </w:r>
      <w:r w:rsidRPr="004A782C">
        <w:rPr>
          <w:color w:val="000000" w:themeColor="text1"/>
          <w:lang w:bidi="ne-NP"/>
        </w:rPr>
        <w:t>).</w:t>
      </w:r>
      <w:bookmarkEnd w:id="30"/>
      <w:bookmarkEnd w:id="31"/>
      <w:bookmarkEnd w:id="32"/>
      <w:bookmarkEnd w:id="33"/>
    </w:p>
    <w:p w14:paraId="391B3995" w14:textId="77777777" w:rsidR="00B27EBA" w:rsidRDefault="00B27EBA" w:rsidP="00B27EBA">
      <w:pPr>
        <w:pStyle w:val="Heading1"/>
        <w:spacing w:before="0"/>
        <w:contextualSpacing/>
        <w:jc w:val="both"/>
        <w:rPr>
          <w:rFonts w:cs="Times New Roman"/>
          <w:sz w:val="28"/>
          <w:szCs w:val="28"/>
        </w:rPr>
      </w:pPr>
    </w:p>
    <w:p w14:paraId="658FBF45" w14:textId="21D3100B" w:rsidR="00376127" w:rsidRPr="009D6757" w:rsidRDefault="009D6757" w:rsidP="00B27EBA">
      <w:pPr>
        <w:pStyle w:val="Heading1"/>
        <w:spacing w:before="0"/>
        <w:contextualSpacing/>
        <w:jc w:val="both"/>
        <w:rPr>
          <w:rFonts w:cs="Times New Roman"/>
          <w:sz w:val="28"/>
          <w:szCs w:val="28"/>
        </w:rPr>
      </w:pPr>
      <w:r w:rsidRPr="009D6757">
        <w:rPr>
          <w:rFonts w:cs="Times New Roman"/>
          <w:sz w:val="28"/>
          <w:szCs w:val="28"/>
        </w:rPr>
        <w:t xml:space="preserve">5. </w:t>
      </w:r>
      <w:r w:rsidR="00376127" w:rsidRPr="009D6757">
        <w:rPr>
          <w:rFonts w:cs="Times New Roman"/>
          <w:sz w:val="28"/>
          <w:szCs w:val="28"/>
        </w:rPr>
        <w:t>Discussion</w:t>
      </w:r>
    </w:p>
    <w:p w14:paraId="56A9A942" w14:textId="211E4A00" w:rsidR="00544A83" w:rsidRPr="004A782C" w:rsidRDefault="009D6757" w:rsidP="00B27EBA">
      <w:pPr>
        <w:pStyle w:val="Heading2"/>
        <w:spacing w:before="0"/>
        <w:contextualSpacing/>
        <w:jc w:val="both"/>
        <w:rPr>
          <w:rFonts w:cs="Times New Roman"/>
          <w:szCs w:val="24"/>
        </w:rPr>
      </w:pPr>
      <w:bookmarkStart w:id="34" w:name="_Toc128114193"/>
      <w:r>
        <w:rPr>
          <w:rFonts w:cs="Times New Roman"/>
          <w:szCs w:val="24"/>
        </w:rPr>
        <w:t xml:space="preserve">5.1 </w:t>
      </w:r>
      <w:r w:rsidR="00544A83" w:rsidRPr="004A782C">
        <w:rPr>
          <w:rFonts w:cs="Times New Roman"/>
          <w:szCs w:val="24"/>
        </w:rPr>
        <w:t>Sociodemographic Factors</w:t>
      </w:r>
      <w:bookmarkEnd w:id="34"/>
    </w:p>
    <w:p w14:paraId="5E1490A7" w14:textId="2D2537F3" w:rsidR="00CB05AD" w:rsidRPr="004A782C" w:rsidRDefault="00642CEE" w:rsidP="00B27EBA">
      <w:pPr>
        <w:spacing w:after="0"/>
        <w:ind w:firstLine="720"/>
        <w:contextualSpacing/>
        <w:jc w:val="both"/>
      </w:pPr>
      <w:r w:rsidRPr="004A782C">
        <w:t>I</w:t>
      </w:r>
      <w:r w:rsidR="00CB05AD" w:rsidRPr="004A782C">
        <w:t xml:space="preserve"> had 348 participants aged 18-24 (M = 20.61, SD = 1.67). Among them, 60.69% were female, 39.31% male; most were Brahmin/</w:t>
      </w:r>
      <w:proofErr w:type="spellStart"/>
      <w:r w:rsidR="00CB05AD" w:rsidRPr="004A782C">
        <w:t>Kshetri</w:t>
      </w:r>
      <w:proofErr w:type="spellEnd"/>
      <w:r w:rsidR="00CB05AD" w:rsidRPr="004A782C">
        <w:t xml:space="preserve"> (71.22%), followed by </w:t>
      </w:r>
      <w:proofErr w:type="spellStart"/>
      <w:r w:rsidR="00CB05AD" w:rsidRPr="004A782C">
        <w:t>Janajaati</w:t>
      </w:r>
      <w:proofErr w:type="spellEnd"/>
      <w:r w:rsidR="00CB05AD" w:rsidRPr="004A782C">
        <w:t xml:space="preserve">, </w:t>
      </w:r>
      <w:proofErr w:type="spellStart"/>
      <w:r w:rsidR="00CB05AD" w:rsidRPr="004A782C">
        <w:t>Newar</w:t>
      </w:r>
      <w:proofErr w:type="spellEnd"/>
      <w:r w:rsidR="00CB05AD" w:rsidRPr="004A782C">
        <w:t>, and others. Most identified as Hindu (90.49%). Regarding education, 84.77% had a bachelor’s degree, and 15.23% had a high school degree. Bachelor’s students were mostly in their first two years. Fields of study included business, hotel management, science, and others. Most attended public institutions, with 94.55% being students and 5.45% employed. 28.67% knew people with mental health issues, while 71.33% did not</w:t>
      </w:r>
      <w:r w:rsidR="00CB05AD" w:rsidRPr="004A782C">
        <w:rPr>
          <w:b/>
        </w:rPr>
        <w:t xml:space="preserve"> </w:t>
      </w:r>
      <w:r w:rsidR="00840982" w:rsidRPr="004A782C">
        <w:rPr>
          <w:bCs/>
        </w:rPr>
        <w:t>(T</w:t>
      </w:r>
      <w:r w:rsidR="00CB05AD" w:rsidRPr="004A782C">
        <w:rPr>
          <w:bCs/>
        </w:rPr>
        <w:t>able 1)</w:t>
      </w:r>
      <w:r w:rsidR="00CB05AD" w:rsidRPr="004A782C">
        <w:t>.</w:t>
      </w:r>
      <w:r w:rsidR="00571EFA" w:rsidRPr="004A782C">
        <w:t xml:space="preserve"> </w:t>
      </w:r>
    </w:p>
    <w:p w14:paraId="673EFDE4" w14:textId="77777777" w:rsidR="009D6757" w:rsidRDefault="009D6757" w:rsidP="00B27EBA">
      <w:pPr>
        <w:pStyle w:val="Heading2"/>
        <w:spacing w:before="0"/>
        <w:contextualSpacing/>
        <w:jc w:val="both"/>
        <w:rPr>
          <w:rFonts w:cs="Times New Roman"/>
          <w:szCs w:val="24"/>
        </w:rPr>
      </w:pPr>
    </w:p>
    <w:p w14:paraId="39A7D8DF" w14:textId="1ED09CC6" w:rsidR="009D0AEA" w:rsidRPr="004A782C" w:rsidRDefault="009D6757" w:rsidP="00B27EBA">
      <w:pPr>
        <w:pStyle w:val="Heading2"/>
        <w:spacing w:before="0"/>
        <w:contextualSpacing/>
        <w:jc w:val="both"/>
        <w:rPr>
          <w:rFonts w:cs="Times New Roman"/>
          <w:szCs w:val="24"/>
        </w:rPr>
      </w:pPr>
      <w:r>
        <w:rPr>
          <w:rFonts w:cs="Times New Roman"/>
          <w:szCs w:val="24"/>
        </w:rPr>
        <w:t xml:space="preserve">5.2 </w:t>
      </w:r>
      <w:r w:rsidR="009D0AEA" w:rsidRPr="004A782C">
        <w:rPr>
          <w:rFonts w:cs="Times New Roman"/>
          <w:szCs w:val="24"/>
        </w:rPr>
        <w:t>Attitudes in Study Participants</w:t>
      </w:r>
    </w:p>
    <w:p w14:paraId="063B87CC" w14:textId="5CED6250" w:rsidR="00F15ABF" w:rsidRPr="004A782C" w:rsidRDefault="00642CEE" w:rsidP="00B27EBA">
      <w:pPr>
        <w:spacing w:after="0"/>
        <w:ind w:firstLine="720"/>
        <w:contextualSpacing/>
        <w:jc w:val="both"/>
        <w:rPr>
          <w:color w:val="000000" w:themeColor="text1"/>
        </w:rPr>
      </w:pPr>
      <w:r w:rsidRPr="004A782C">
        <w:rPr>
          <w:color w:val="000000" w:themeColor="text1"/>
        </w:rPr>
        <w:t>I</w:t>
      </w:r>
      <w:r w:rsidR="009D0AEA" w:rsidRPr="004A782C">
        <w:rPr>
          <w:color w:val="000000" w:themeColor="text1"/>
        </w:rPr>
        <w:t xml:space="preserve"> found </w:t>
      </w:r>
      <w:proofErr w:type="spellStart"/>
      <w:r w:rsidR="009D0AEA" w:rsidRPr="004A782C">
        <w:rPr>
          <w:color w:val="000000" w:themeColor="text1"/>
        </w:rPr>
        <w:t>unfavourable</w:t>
      </w:r>
      <w:proofErr w:type="spellEnd"/>
      <w:r w:rsidR="009D0AEA" w:rsidRPr="004A782C">
        <w:rPr>
          <w:color w:val="000000" w:themeColor="text1"/>
        </w:rPr>
        <w:t xml:space="preserve"> attitudes in our study participants in each demographic </w:t>
      </w:r>
      <w:r w:rsidR="009D6757" w:rsidRPr="004A782C">
        <w:rPr>
          <w:color w:val="000000" w:themeColor="text1"/>
        </w:rPr>
        <w:t>group</w:t>
      </w:r>
      <w:r w:rsidR="009D0AEA" w:rsidRPr="004A782C">
        <w:rPr>
          <w:color w:val="000000" w:themeColor="text1"/>
        </w:rPr>
        <w:t>.</w:t>
      </w:r>
      <w:r w:rsidR="00BA5AF8" w:rsidRPr="004A782C">
        <w:rPr>
          <w:color w:val="000000" w:themeColor="text1"/>
        </w:rPr>
        <w:t xml:space="preserve"> Consistently,</w:t>
      </w:r>
      <w:r w:rsidR="00D70A6E" w:rsidRPr="004A782C">
        <w:rPr>
          <w:color w:val="000000" w:themeColor="text1"/>
        </w:rPr>
        <w:t xml:space="preserve"> a study displayed an overall negative attitude towards individuals with mental illness in students </w:t>
      </w:r>
      <w:r w:rsidR="00D70A6E" w:rsidRPr="004A782C">
        <w:rPr>
          <w:color w:val="000000" w:themeColor="text1"/>
        </w:rPr>
        <w:fldChar w:fldCharType="begin" w:fldLock="1"/>
      </w:r>
      <w:r w:rsidR="00D70A6E" w:rsidRPr="004A782C">
        <w:rPr>
          <w:color w:val="000000" w:themeColor="text1"/>
        </w:rPr>
        <w:instrText>ADDIN CSL_CITATION {"citationItems":[{"id":"ITEM-1","itemData":{"DOI":"10.31729/jnma.703","ISBN":"9849550155","ISSN":"00282715","PMID":"24362654","abstract":"Introduction: Medical students tend to have a neutral or negative attitude to Psychiatry as a discipline. This study was initiated to explore the attitude towards mental illness and Psychiatry among the medical students and interns in Kathmandu University School of Medical Sciences. Methods: A cross-sectional questionnaire based studywas conducted among the medical students and interns at Dhulikhel Hospital.Two self-rating scales; Attitudes towards Psychiatry-30 and Attitudes to Mental Illnesswere used to assess attitudes towards mental illness and Psychiatryamong the total 159 subjects. Descriptive statistics and independent sample t-test were applied using SPSS 16 for analysis. Results: Among the total 159 subjects, 44 (27.7%) were interns. Comparison of means of each item in Attitudes towards Psychiatry-30 and Attitudes to Mental Illnesswas done between males and females, medical students and interns, first semester and ninth semester students. Most of the subjects showed neutral attitude towards all the scoring items; though there were a few significant differences in mean scores of some items in group wise comparison. Conclusions: Overall attitudes towards mental illness and psychiatry among the medical students and interns in our medical school were positive or neutral. A further study with medical students from differentinstitutionsis needed to get a detail nationwide picture.","author":[{"dropping-particle":"","family":"Risal","given":"Ajay","non-dropping-particle":"","parse-names":false,"suffix":""},{"dropping-particle":"","family":"Sharma","given":"Pushpa Prasad","non-dropping-particle":"","parse-names":false,"suffix":""},{"dropping-particle":"","family":"Sanjel","given":"Seshananda","non-dropping-particle":"","parse-names":false,"suffix":""}],"container-title":"Journal of the Nepal Medical Association","id":"ITEM-1","issue":"6","issued":{"date-parts":[["2013"]]},"page":"322-331","title":"Attitude toward mental illness and psychiatry among the medical students and interns in a medical college","type":"article-journal","volume":"52"},"uris":["http://www.mendeley.com/documents/?uuid=dc3301e0-9e11-4f35-a931-65bf3e02e5c1"]}],"mendeley":{"formattedCitation":"(Risal et al., 2013)","plainTextFormattedCitation":"(Risal et al., 2013)","previouslyFormattedCitation":"(Risal et al., 2013)"},"properties":{"noteIndex":0},"schema":"https://github.com/citation-style-language/schema/raw/master/csl-citation.json"}</w:instrText>
      </w:r>
      <w:r w:rsidR="00D70A6E" w:rsidRPr="004A782C">
        <w:rPr>
          <w:color w:val="000000" w:themeColor="text1"/>
        </w:rPr>
        <w:fldChar w:fldCharType="separate"/>
      </w:r>
      <w:r w:rsidR="00D70A6E" w:rsidRPr="004A782C">
        <w:rPr>
          <w:noProof/>
          <w:color w:val="000000" w:themeColor="text1"/>
        </w:rPr>
        <w:t>(Risal et al., 2013)</w:t>
      </w:r>
      <w:r w:rsidR="00D70A6E" w:rsidRPr="004A782C">
        <w:rPr>
          <w:color w:val="000000" w:themeColor="text1"/>
        </w:rPr>
        <w:fldChar w:fldCharType="end"/>
      </w:r>
      <w:r w:rsidR="00D70A6E" w:rsidRPr="004A782C">
        <w:rPr>
          <w:color w:val="000000" w:themeColor="text1"/>
        </w:rPr>
        <w:t>.</w:t>
      </w:r>
      <w:r w:rsidR="009D0AEA" w:rsidRPr="004A782C">
        <w:rPr>
          <w:color w:val="000000" w:themeColor="text1"/>
        </w:rPr>
        <w:t xml:space="preserve"> </w:t>
      </w:r>
      <w:r w:rsidR="009D0AEA" w:rsidRPr="004A782C">
        <w:rPr>
          <w:color w:val="000000" w:themeColor="text1"/>
        </w:rPr>
        <w:fldChar w:fldCharType="begin" w:fldLock="1"/>
      </w:r>
      <w:r w:rsidR="00787A32" w:rsidRPr="004A782C">
        <w:rPr>
          <w:color w:val="000000" w:themeColor="text1"/>
        </w:rPr>
        <w:instrText>ADDIN CSL_CITATION {"citationItems":[{"id":"ITEM-1","itemData":{"DOI":"10.3126/jpan.v10i1.40347","ISSN":"2091-2862","abstract":"Introduction: Mental disorders are widely recognized as a major contributor to the global burden of disease. Mental illness often generates misunderstanding, prejudice, confusion and fear; therefore it should be a concern for all of us, rather than only for those who suffer from a mental disorder. Aim of this study is to assess the knowledge and attitude on mental illness among people of a selected community.\r Material And Method: Descriptive cross-sectional research design was used to assess knowledge and attitude in selected community of Biratnagar. Sample size was 92. Non-probability purposive sampling technique was used to collect data through face to face interview using Semi-structured questionnaire. Data entry and analysis was done on SPSS version 16. Descriptive statistics was calculated.\r Results: Finding of the study shows 88% views mental illness as a medical condition. All respondents identified that mentally ill people cannot held his/her responsibility and are prone to violent. Mental illness perceived as treatable by 66.7% with regular treatment and follow-up and 20.7% preferred treatment with traditional healer. Findings of the study showed adequate level of knowledge among 97.8% respondents.\r Conclusion: The finding of the study suggests level of knowledge was adequate among respondents whereas most of them had negative attitude towards mental illness. The level of negative attitude suggests the strong emphasis on public education towards mental illness.","author":[{"dropping-particle":"","family":"Jha","given":"P.","non-dropping-particle":"","parse-names":false,"suffix":""},{"dropping-particle":"","family":"Mandal","given":"P.K.","non-dropping-particle":"","parse-names":false,"suffix":""}],"container-title":"Journal of Psychiatrists' Association of Nepal","id":"ITEM-1","issue":"1","issued":{"date-parts":[["2021"]]},"page":"43-49","title":"Knowledge And Attitude On Mental Illness Among People Of A Selected Community Of Biratnagar","type":"article-journal","volume":"10"},"uris":["http://www.mendeley.com/documents/?uuid=466f67d0-d3fb-42dd-9880-59479b914051"]}],"mendeley":{"formattedCitation":"(Jha &amp; Mandal, 2021)","manualFormatting":"Jha &amp; Mandal (2021)","plainTextFormattedCitation":"(Jha &amp; Mandal, 2021)","previouslyFormattedCitation":"(Jha &amp; Mandal, 2021)"},"properties":{"noteIndex":0},"schema":"https://github.com/citation-style-language/schema/raw/master/csl-citation.json"}</w:instrText>
      </w:r>
      <w:r w:rsidR="009D0AEA" w:rsidRPr="004A782C">
        <w:rPr>
          <w:color w:val="000000" w:themeColor="text1"/>
        </w:rPr>
        <w:fldChar w:fldCharType="separate"/>
      </w:r>
      <w:r w:rsidR="009D0AEA" w:rsidRPr="004A782C">
        <w:rPr>
          <w:noProof/>
          <w:color w:val="000000" w:themeColor="text1"/>
        </w:rPr>
        <w:t>Jha &amp; Mandal (2021)</w:t>
      </w:r>
      <w:r w:rsidR="009D0AEA" w:rsidRPr="004A782C">
        <w:rPr>
          <w:color w:val="000000" w:themeColor="text1"/>
        </w:rPr>
        <w:fldChar w:fldCharType="end"/>
      </w:r>
      <w:r w:rsidR="009D0AEA" w:rsidRPr="004A782C">
        <w:rPr>
          <w:color w:val="000000" w:themeColor="text1"/>
        </w:rPr>
        <w:t xml:space="preserve"> found negative attitudes toward</w:t>
      </w:r>
      <w:r w:rsidR="0045576F" w:rsidRPr="004A782C">
        <w:rPr>
          <w:color w:val="000000" w:themeColor="text1"/>
        </w:rPr>
        <w:t xml:space="preserve">s mental illness in their study. </w:t>
      </w:r>
      <w:r w:rsidR="0045576F" w:rsidRPr="004A782C">
        <w:rPr>
          <w:color w:val="000000" w:themeColor="text1"/>
        </w:rPr>
        <w:fldChar w:fldCharType="begin" w:fldLock="1"/>
      </w:r>
      <w:r w:rsidR="00787A32" w:rsidRPr="004A782C">
        <w:rPr>
          <w:color w:val="000000" w:themeColor="text1"/>
        </w:rPr>
        <w:instrText>ADDIN CSL_CITATION {"citationItems":[{"id":"ITEM-1","itemData":{"DOI":"10.3126/jngmc.v16i1.24230","ISSN":"2362-1192","abstract":"Background: The universality of harmful beliefs and subsequent negative attitude towards the persons with mental illness among medical students are the main obstacles facing the mentally ill people that further prevents them from seeking help and care for their mental health problems. Mental health education plays a significant role in changing medical students' attitude towards persons with mental illness.\r Aim: The aim of this study was to assess undergraduate medical students' attitude towards persons with mental illness and to compare their attitudes before and after mental health education.\r Materials and methods: A longitudinal prospective study was carried on final year MBBS students (N=68) from June, 2017 to November, 2017. Pretest- posttest design was adopted using Attitude Scale for Mental Illness (ASMI) before and after theory classes and clinical posting for mental health education.\r Results: Findings of present study revealed that these students were less stigmatized (6.44+1.93). Domain of restrictiveness improved (9.44+2.94 from 10.54+3.09) and benevolence increased significantly (t=2.440; P=0.017*) after mental health education and training. Overall attitude of the study population was found to have unhealthy attitude towards persons with mental illness since the mean scores on separatism, stereotyping, restrictiveness and pessimistic prediction subscales were elevated on ASMI.\r Conclusion: In conclusion, mental health education was found to be effective in changing the attitude of restrictiveness i.e., decreasing an uncertain view on the rights of people with mental illness and increasing kindness and sympathetic view to some extent among undergraduate medical students towards the persons with mental illness.","author":[{"dropping-particle":"","family":"Jalan","given":"Rekha","non-dropping-particle":"","parse-names":false,"suffix":""}],"container-title":"Journal of Nepalgunj Medical College","id":"ITEM-1","issue":"1","issued":{"date-parts":[["2018"]]},"page":"48-53","title":"Attitudes of Undergraduate Medical Students towards the Persons with Mental Illness in a Medical College of Western Region of Nepal","type":"article-journal","volume":"16"},"uris":["http://www.mendeley.com/documents/?uuid=b4eceba2-7c7d-4098-ab4d-b39541bebbd3"]}],"mendeley":{"formattedCitation":"(Jalan, 2018)","manualFormatting":"Jalan (2018)","plainTextFormattedCitation":"(Jalan, 2018)","previouslyFormattedCitation":"(Jalan, 2018)"},"properties":{"noteIndex":0},"schema":"https://github.com/citation-style-language/schema/raw/master/csl-citation.json"}</w:instrText>
      </w:r>
      <w:r w:rsidR="0045576F" w:rsidRPr="004A782C">
        <w:rPr>
          <w:color w:val="000000" w:themeColor="text1"/>
        </w:rPr>
        <w:fldChar w:fldCharType="separate"/>
      </w:r>
      <w:r w:rsidR="0045576F" w:rsidRPr="004A782C">
        <w:rPr>
          <w:noProof/>
          <w:color w:val="000000" w:themeColor="text1"/>
        </w:rPr>
        <w:t>Jalan (2018)</w:t>
      </w:r>
      <w:r w:rsidR="0045576F" w:rsidRPr="004A782C">
        <w:rPr>
          <w:color w:val="000000" w:themeColor="text1"/>
        </w:rPr>
        <w:fldChar w:fldCharType="end"/>
      </w:r>
      <w:r w:rsidR="0045576F" w:rsidRPr="004A782C">
        <w:rPr>
          <w:color w:val="000000" w:themeColor="text1"/>
        </w:rPr>
        <w:t xml:space="preserve">, also found a prevailing </w:t>
      </w:r>
      <w:proofErr w:type="spellStart"/>
      <w:r w:rsidR="0045576F" w:rsidRPr="004A782C">
        <w:rPr>
          <w:color w:val="000000" w:themeColor="text1"/>
        </w:rPr>
        <w:t>unfavo</w:t>
      </w:r>
      <w:r w:rsidR="00E34030" w:rsidRPr="004A782C">
        <w:rPr>
          <w:color w:val="000000" w:themeColor="text1"/>
        </w:rPr>
        <w:t>u</w:t>
      </w:r>
      <w:r w:rsidR="0045576F" w:rsidRPr="004A782C">
        <w:rPr>
          <w:color w:val="000000" w:themeColor="text1"/>
        </w:rPr>
        <w:t>rable</w:t>
      </w:r>
      <w:proofErr w:type="spellEnd"/>
      <w:r w:rsidR="0045576F" w:rsidRPr="004A782C">
        <w:rPr>
          <w:color w:val="000000" w:themeColor="text1"/>
        </w:rPr>
        <w:t xml:space="preserve"> attitude within the study population towards individuals with mental illness.</w:t>
      </w:r>
      <w:r w:rsidR="000E1B4F" w:rsidRPr="004A782C">
        <w:rPr>
          <w:color w:val="000000" w:themeColor="text1"/>
        </w:rPr>
        <w:t xml:space="preserve"> A</w:t>
      </w:r>
      <w:r w:rsidR="007232C4" w:rsidRPr="004A782C">
        <w:rPr>
          <w:color w:val="000000" w:themeColor="text1"/>
        </w:rPr>
        <w:t xml:space="preserve"> study consistently found an unfavorable attitude in 59.7% of participants and a favorable attitude in 40.3% of participants (Nepal et al., 2021)</w:t>
      </w:r>
      <w:r w:rsidR="006B5967" w:rsidRPr="004A782C">
        <w:rPr>
          <w:color w:val="000000" w:themeColor="text1"/>
        </w:rPr>
        <w:t xml:space="preserve">. </w:t>
      </w:r>
      <w:r w:rsidR="000F0D06" w:rsidRPr="004A782C">
        <w:rPr>
          <w:color w:val="000000" w:themeColor="text1"/>
        </w:rPr>
        <w:t xml:space="preserve">Furthermore, aggregate prevalence of self-stigma (self-stigma among psychiatric individuals refers to the process wherein individuals who have mental health conditions internalize societal prejudices and negative perceptions related to mental illness) was 54.44% </w:t>
      </w:r>
      <w:r w:rsidR="000F0D06" w:rsidRPr="004A782C">
        <w:rPr>
          <w:color w:val="000000" w:themeColor="text1"/>
          <w:bdr w:val="none" w:sz="0" w:space="0" w:color="auto" w:frame="1"/>
          <w:shd w:val="clear" w:color="auto" w:fill="FFFFFF"/>
        </w:rPr>
        <w:t>among psychiatric</w:t>
      </w:r>
      <w:r w:rsidR="000F0D06" w:rsidRPr="004A782C">
        <w:rPr>
          <w:color w:val="000000" w:themeColor="text1"/>
        </w:rPr>
        <w:t xml:space="preserve"> patients in Nepal</w:t>
      </w:r>
      <w:r w:rsidR="000F0D06" w:rsidRPr="004A782C">
        <w:rPr>
          <w:color w:val="000000" w:themeColor="text1"/>
          <w:bdr w:val="none" w:sz="0" w:space="0" w:color="auto" w:frame="1"/>
          <w:shd w:val="clear" w:color="auto" w:fill="FFFFFF"/>
        </w:rPr>
        <w:t xml:space="preserve"> </w:t>
      </w:r>
      <w:r w:rsidR="000F0D06" w:rsidRPr="004A782C">
        <w:rPr>
          <w:color w:val="000000" w:themeColor="text1"/>
        </w:rPr>
        <w:fldChar w:fldCharType="begin" w:fldLock="1"/>
      </w:r>
      <w:r w:rsidR="000F0D06" w:rsidRPr="004A782C">
        <w:rPr>
          <w:color w:val="000000" w:themeColor="text1"/>
        </w:rPr>
        <w:instrText>ADDIN CSL_CITATION {"citationItems":[{"id":"ITEM-1","itemData":{"DOI":"10.1186/s12888-019-2344-8","ISBN":"1288801923448","ISSN":"1471244X","PMID":"31699070","abstract":"Background: Stigma against mental illness cuts across all age, religion, ethnic origin or socio-economic status. Similarly, self-stigma among psychiatric patients is also prevalent worldwide. The consequences of self-stigma are low self-esteem, increased severity of symptoms, low treatment adherence, increased rate of suicidality and decreased quality of life. Thus, this study aims to find the prevalence of self-stigma and its association with self-esteem of patients with mental illness in Nepal. Methods: This was a cross-sectional study conducted among 180 patients with mental illness attending a psychiatric Outpatient Department (OPD). Non-probability purposive sampling technique was used for the study. The data was collected by face to face interview technique. Structured interview schedule questionnaire (brief version of internalized stigma scale and Rosenberg self-esteem scale) was used to collect the data. Descriptive statistics, inferential statistics and correlation analysis were used for data analysis. P value was set at 0.05. Results: Overall prevalence of self-stigma was 54.44%. Among those who had self-stigma 48% had mild self-stigma, 34.7% had moderate self-stigma and 17.3% had severe self-stigma. Among the five components of self-stigma scale, the highest mean score was on stereotype endorsement, followed by discrimination experience, social withdrawal, stigma resistance, and the lowest for the component of alienation. Furthermore, strong negative correlation (r = - 0.74) was found between self-stigma and self-esteem. The correlation was still significant (r = - 0.69) after controlling for socio-demographic and clinical variables. Hospital admission and diagnostic category of respondents were significantly associated with self-stigma. However, no significant association was found between socio-demographic variables and self-stigma. Conclusion: Based on the findings of this study, it can be concluded that self-stigma is prevalent among psychiatric patients in Nepal. Most of the respondents experienced stereotype endorsement. Also, higher self-stigma is significantly associated with poor self-esteem suggesting self-stigma reduction programs. Furthermore, strong negative relationship between self-stigma and self-esteem suggests some causal relationship studies to confirm if self-esteem enhancement program can be beneficial to reduce self-stigma among psychiatric patients.","author":[{"dropping-particle":"","family":"Maharjan","given":"Shanta","non-dropping-particle":"","parse-names":false,"suffix":""},{"dropping-particle":"","family":"Panthee","given":"Bimala","non-dropping-particle":"","parse-names":false,"suffix":""}],"container-title":"BMC Psychiatry","id":"ITEM-1","issue":"1","issued":{"date-parts":[["2019"]]},"page":"1-8","publisher":"BMC Psychiatry","title":"Prevalence of self-stigma and its association with self-esteem among psychiatric patients in a Nepalese teaching hospital: A cross-sectional study","type":"article-journal","volume":"19"},"uris":["http://www.mendeley.com/documents/?uuid=17aef209-1f94-4e62-a492-0b72d5ef0663"]}],"mendeley":{"formattedCitation":"(Maharjan &amp; Panthee, 2019)","plainTextFormattedCitation":"(Maharjan &amp; Panthee, 2019)","previouslyFormattedCitation":"(Maharjan &amp; Panthee, 2019)"},"properties":{"noteIndex":0},"schema":"https://github.com/citation-style-language/schema/raw/master/csl-citation.json"}</w:instrText>
      </w:r>
      <w:r w:rsidR="000F0D06" w:rsidRPr="004A782C">
        <w:rPr>
          <w:color w:val="000000" w:themeColor="text1"/>
        </w:rPr>
        <w:fldChar w:fldCharType="separate"/>
      </w:r>
      <w:r w:rsidR="000F0D06" w:rsidRPr="004A782C">
        <w:rPr>
          <w:noProof/>
          <w:color w:val="000000" w:themeColor="text1"/>
        </w:rPr>
        <w:t>(Maharjan &amp; Panthee, 2019)</w:t>
      </w:r>
      <w:r w:rsidR="000F0D06" w:rsidRPr="004A782C">
        <w:rPr>
          <w:color w:val="000000" w:themeColor="text1"/>
        </w:rPr>
        <w:fldChar w:fldCharType="end"/>
      </w:r>
      <w:r w:rsidR="000F0D06" w:rsidRPr="004A782C">
        <w:rPr>
          <w:color w:val="000000" w:themeColor="text1"/>
        </w:rPr>
        <w:t xml:space="preserve">. </w:t>
      </w:r>
    </w:p>
    <w:p w14:paraId="0C268E2B" w14:textId="5DAB8ACD" w:rsidR="00E03BC0" w:rsidRPr="004A782C" w:rsidRDefault="00642CEE" w:rsidP="00B27EBA">
      <w:pPr>
        <w:spacing w:after="0"/>
        <w:ind w:firstLine="720"/>
        <w:contextualSpacing/>
        <w:jc w:val="both"/>
        <w:rPr>
          <w:rFonts w:eastAsia="Times New Roman"/>
          <w:color w:val="000000" w:themeColor="text1"/>
          <w:lang w:bidi="ne-NP"/>
        </w:rPr>
      </w:pPr>
      <w:r w:rsidRPr="004A782C">
        <w:rPr>
          <w:rFonts w:eastAsia="Times New Roman"/>
          <w:color w:val="000000" w:themeColor="text1"/>
          <w:lang w:bidi="ne-NP"/>
        </w:rPr>
        <w:t>I</w:t>
      </w:r>
      <w:r w:rsidR="00544A83" w:rsidRPr="004A782C">
        <w:rPr>
          <w:rFonts w:eastAsia="Times New Roman"/>
          <w:color w:val="000000" w:themeColor="text1"/>
          <w:lang w:bidi="ne-NP"/>
        </w:rPr>
        <w:t xml:space="preserve"> found no relationship between the level of ATMHP and age. This result is consistent with the finding that </w:t>
      </w:r>
      <w:r w:rsidR="00544A83" w:rsidRPr="004A782C">
        <w:rPr>
          <w:color w:val="000000" w:themeColor="text1"/>
        </w:rPr>
        <w:t>age had no relationship with attitude towards MWMI</w:t>
      </w:r>
      <w:r w:rsidR="00544A83" w:rsidRPr="004A782C">
        <w:rPr>
          <w:rFonts w:eastAsia="Times New Roman"/>
          <w:color w:val="000000" w:themeColor="text1"/>
          <w:lang w:bidi="ne-NP"/>
        </w:rPr>
        <w:t xml:space="preserve"> (</w:t>
      </w:r>
      <w:r w:rsidR="00544A83" w:rsidRPr="004A782C">
        <w:rPr>
          <w:color w:val="000000" w:themeColor="text1"/>
        </w:rPr>
        <w:fldChar w:fldCharType="begin" w:fldLock="1"/>
      </w:r>
      <w:r w:rsidR="00195CA3" w:rsidRPr="004A782C">
        <w:rPr>
          <w:color w:val="000000" w:themeColor="text1"/>
        </w:rPr>
        <w:instrText>ADDIN CSL_CITATION {"citationItems":[{"id":"ITEM-1","itemData":{"DOI":"10.1177/002076402128783334","ISSN":"00207640","PMID":"12553410","abstract":"Background: As conceptions of mental illness are often dictated by prevailing socio-cultural factors and the philosophy of the time, there is little research to substantiate how mental illness is perceived in the Arab world in the light of both traditional and more recent modernization and acculturation processes. Aims: To examine whether social factors exert an influence on a person's attitude towards people with mental illness (PWMI) in the rapidly changing country of Oman. Methods: This study compares the response elicited from medical students, relatives of psychiatric patients and the general Omani public on the causes of mental illness, attitudes toward PWMI and the care and management of people with mental illness. Results: This study found no relationship between attitudes towards PWMI, and demographic variables such as age, educational level, marital status, sex and personal exposure to people with mental illness. Both medical students and the public rejected a genetic factor as the cause of mental illness; instead they favoured the role of spirits as the aetiological factor for mental illness. There were favourable responses on statements regarding value of life, family life, decision-making ability, and the management and care of mental illness. However, both medical students and the public thought that PWMI tend to have peculiar and stereotypical appearances and the majority preferred that facilities for psychiatric care should be located away from the community. Although the relatives of psychiatric patients were concerned about the welfare of mental patients, their responses varied and were often contingent upon their expectations. Conclusions: The data suggest that neither socio-demographic factors nor previous exposure to PWMI was related to attitudes towards PWMI. Although the attitudes of Omanis toward PWMI appear to fluctuate in complex ways, traditional beliefs on mental illness have yet to be eroded by exposure to a biomedical model of mental illness. This study largely supports the view that the extent of stigma varies according to the cultural and sociological backgrounds of each society.","author":[{"dropping-particle":"","family":"Al-Adawi","given":"Samir","non-dropping-particle":"","parse-names":false,"suffix":""},{"dropping-particle":"","family":"Dorvlo","given":"Atsu S.S.","non-dropping-particle":"","parse-names":false,"suffix":""},{"dropping-particle":"","family":"Al-Ismaily","given":"Suad S.","non-dropping-particle":"","parse-names":false,"suffix":""},{"dropping-particle":"","family":"Alghafry","given":"Dalal A.","non-dropping-particle":"","parse-names":false,"suffix":""},{"dropping-particle":"","family":"Al-Noobi","given":"Balquiz Z.","non-dropping-particle":"","parse-names":false,"suffix":""},{"dropping-particle":"","family":"Al-Salmi","given":"Ahmed","non-dropping-particle":"","parse-names":false,"suffix":""},{"dropping-particle":"","family":"Burke","given":"David T.","non-dropping-particle":"","parse-names":false,"suffix":""},{"dropping-particle":"","family":"Shah","given":"Mrugeshkumar K.","non-dropping-particle":"","parse-names":false,"suffix":""},{"dropping-particle":"","family":"Ghassany","given":"Harith","non-dropping-particle":"","parse-names":false,"suffix":""},{"dropping-particle":"","family":"Chand","given":"Suma P.","non-dropping-particle":"","parse-names":false,"suffix":""}],"container-title":"International Journal of Social Psychiatry","id":"ITEM-1","issue":"4","issued":{"date-parts":[["2002"]]},"page":"305-317","title":"Perception of and attitude towards mental illness in Oman","type":"article-journal","volume":"48"},"uris":["http://www.mendeley.com/documents/?uuid=bb767642-914c-4b09-8d41-106123b07f1c"]}],"mendeley":{"formattedCitation":"(Al-Adawi et al., 2002)","manualFormatting":"Al-Adawi et al., 2002","plainTextFormattedCitation":"(Al-Adawi et al., 2002)","previouslyFormattedCitation":"(Al-Adawi et al., 2002)"},"properties":{"noteIndex":0},"schema":"https://github.com/citation-style-language/schema/raw/master/csl-citation.json"}</w:instrText>
      </w:r>
      <w:r w:rsidR="00544A83" w:rsidRPr="004A782C">
        <w:rPr>
          <w:color w:val="000000" w:themeColor="text1"/>
        </w:rPr>
        <w:fldChar w:fldCharType="separate"/>
      </w:r>
      <w:r w:rsidR="00544A83" w:rsidRPr="004A782C">
        <w:rPr>
          <w:noProof/>
          <w:color w:val="000000" w:themeColor="text1"/>
        </w:rPr>
        <w:t>Al-Adawi et al., 2002</w:t>
      </w:r>
      <w:r w:rsidR="00544A83" w:rsidRPr="004A782C">
        <w:rPr>
          <w:color w:val="000000" w:themeColor="text1"/>
        </w:rPr>
        <w:fldChar w:fldCharType="end"/>
      </w:r>
      <w:r w:rsidR="003511B3" w:rsidRPr="004A782C">
        <w:rPr>
          <w:color w:val="000000" w:themeColor="text1"/>
        </w:rPr>
        <w:t xml:space="preserve">; </w:t>
      </w:r>
      <w:r w:rsidR="003511B3" w:rsidRPr="004A782C">
        <w:rPr>
          <w:color w:val="000000" w:themeColor="text1"/>
        </w:rPr>
        <w:fldChar w:fldCharType="begin" w:fldLock="1"/>
      </w:r>
      <w:r w:rsidR="00195CA3" w:rsidRPr="004A782C">
        <w:rPr>
          <w:color w:val="000000" w:themeColor="text1"/>
        </w:rPr>
        <w:instrText>ADDIN CSL_CITATION {"citationItems":[{"id":"ITEM-1","itemData":{"DOI":"10.3390/bs14121189","ISSN":"2076328X","abstract":"(1) Background: Research on mental health literacy (MHL) and attitudes toward mental health problems (ATMHP) among non-medical college students in Nepal is limited. This study examined the relationship between MHL and ATMHP, considering demographic variables and familiarity with mental health issues; (2) Methods: We conducted a cross-sectional survey with 385 college students from Chitwan and Kathmandu, Nepal, using opportunity sampling. Descriptive and inferential statistics examined demographic differences, while Pearson’s correlation assessed relationships among latent variables; (3) Results: No relationship was found between MHL and ATMHP (r = −0.01, p = 0.92). Females had greater awareness of stereotypes (p = 0.025, g = 0.24). Hotel management students showed better self-help strategies (p = 0.036, d = 0.46). Public college students scored higher in self-help strategies than government (p = 0.036, d = −0.32) and private college students (p = 0.02, d = −0.32). Non-employed students outperformed employed ones in self-help strategies (p = 0.002, g = −0.46). Other demographic factors showed no significant relationships; (4) Conclusions: MHL and ATMHP were unrelated, indicating that increasing MHL alone may not improve attitudes. Multidimensional interventions combining education and experiential learning are needed. Certain demographic factors influenced stereotypes and self-help strategies, while others showed no significant impact.","author":[{"dropping-particle":"","family":"Poudel","given":"Dev Bandhu","non-dropping-particle":"","parse-names":false,"suffix":""},{"dropping-particle":"","family":"Sharif","given":"Loujain Saud","non-dropping-particle":"","parse-names":false,"suffix":""},{"dropping-particle":"","family":"Acharya","given":"Samjhana","non-dropping-particle":"","parse-names":false,"suffix":""},{"dropping-particle":"","family":"Mahsoon","given":"Alaa","non-dropping-particle":"","parse-names":false,"suffix":""},{"dropping-particle":"","family":"Sharif","given":"Khalid","non-dropping-particle":"","parse-names":false,"suffix":""},{"dropping-particle":"","family":"Wright","given":"Rebecca","non-dropping-particle":"","parse-names":false,"suffix":""}],"container-title":"Behavioral Sciences","id":"ITEM-1","issue":"12","issued":{"date-parts":[["2024"]]},"page":"1-18","title":"Mental health literacy and attitudes towards mental health problems among college students, Nepal","type":"article-journal","volume":"14"},"uris":["http://www.mendeley.com/documents/?uuid=3992344a-35f5-4019-94b8-8327000efb2c"]}],"mendeley":{"formattedCitation":"(Poudel et al., 2024)","manualFormatting":"Poudel et al., 2024)","plainTextFormattedCitation":"(Poudel et al., 2024)","previouslyFormattedCitation":"(Poudel et al., 2024)"},"properties":{"noteIndex":0},"schema":"https://github.com/citation-style-language/schema/raw/master/csl-citation.json"}</w:instrText>
      </w:r>
      <w:r w:rsidR="003511B3" w:rsidRPr="004A782C">
        <w:rPr>
          <w:color w:val="000000" w:themeColor="text1"/>
        </w:rPr>
        <w:fldChar w:fldCharType="separate"/>
      </w:r>
      <w:r w:rsidR="003511B3" w:rsidRPr="004A782C">
        <w:rPr>
          <w:noProof/>
          <w:color w:val="000000" w:themeColor="text1"/>
        </w:rPr>
        <w:t>Poudel et al., 2024)</w:t>
      </w:r>
      <w:r w:rsidR="003511B3" w:rsidRPr="004A782C">
        <w:rPr>
          <w:color w:val="000000" w:themeColor="text1"/>
        </w:rPr>
        <w:fldChar w:fldCharType="end"/>
      </w:r>
      <w:r w:rsidR="00544A83" w:rsidRPr="004A782C">
        <w:rPr>
          <w:rFonts w:eastAsia="Times New Roman"/>
          <w:color w:val="000000" w:themeColor="text1"/>
          <w:lang w:bidi="ne-NP"/>
        </w:rPr>
        <w:t>.</w:t>
      </w:r>
      <w:r w:rsidR="002569F5" w:rsidRPr="004A782C">
        <w:rPr>
          <w:rFonts w:eastAsia="Times New Roman"/>
          <w:color w:val="000000" w:themeColor="text1"/>
          <w:lang w:bidi="ne-NP"/>
        </w:rPr>
        <w:t xml:space="preserve"> Similarly, age was non-significantly related to </w:t>
      </w:r>
      <w:r w:rsidR="002569F5" w:rsidRPr="004A782C">
        <w:rPr>
          <w:rFonts w:eastAsia="Times New Roman"/>
          <w:i/>
          <w:iCs/>
          <w:color w:val="000000" w:themeColor="text1"/>
          <w:lang w:bidi="ne-NP"/>
        </w:rPr>
        <w:t>izzat</w:t>
      </w:r>
      <w:r w:rsidR="002569F5" w:rsidRPr="004A782C">
        <w:rPr>
          <w:rFonts w:eastAsia="Times New Roman"/>
          <w:color w:val="000000" w:themeColor="text1"/>
          <w:lang w:bidi="ne-NP"/>
        </w:rPr>
        <w:t xml:space="preserve"> (a major factor in ATMHP) in Nepalese people living in United Kingdom </w:t>
      </w:r>
      <w:r w:rsidR="002569F5" w:rsidRPr="004A782C">
        <w:rPr>
          <w:rFonts w:eastAsia="Times New Roman"/>
          <w:color w:val="000000" w:themeColor="text1"/>
          <w:lang w:bidi="ne-NP"/>
        </w:rPr>
        <w:fldChar w:fldCharType="begin" w:fldLock="1"/>
      </w:r>
      <w:r w:rsidR="0089148D" w:rsidRPr="004A782C">
        <w:rPr>
          <w:rFonts w:eastAsia="Times New Roman"/>
          <w:color w:val="000000" w:themeColor="text1"/>
          <w:lang w:bidi="ne-NP"/>
        </w:rPr>
        <w:instrText>ADDIN CSL_CITATION {"citationItems":[{"id":"ITEM-1","itemData":{"abstract":"A portfolio submitted in partial fulfilment of the requirements of the University of Hertfordshire for the degree of DClinPsy.","author":[{"dropping-particle":"","family":"Thake","given":"Anna","non-dropping-particle":"","parse-names":false,"suffix":""}],"id":"ITEM-1","issue":"October","issued":{"date-parts":[["2014"]]},"title":"Factors influencing beliefs about mental health difficulties and attitudes towards seeking help amongst Nepalese people in the United Kingdom","type":"article-journal","volume":"1"},"uris":["http://www.mendeley.com/documents/?uuid=022876be-1908-449d-ada2-5262717c8869"]}],"mendeley":{"formattedCitation":"(Thake, 2014)","plainTextFormattedCitation":"(Thake, 2014)","previouslyFormattedCitation":"(Thake, 2014)"},"properties":{"noteIndex":0},"schema":"https://github.com/citation-style-language/schema/raw/master/csl-citation.json"}</w:instrText>
      </w:r>
      <w:r w:rsidR="002569F5" w:rsidRPr="004A782C">
        <w:rPr>
          <w:rFonts w:eastAsia="Times New Roman"/>
          <w:color w:val="000000" w:themeColor="text1"/>
          <w:lang w:bidi="ne-NP"/>
        </w:rPr>
        <w:fldChar w:fldCharType="separate"/>
      </w:r>
      <w:r w:rsidR="002569F5" w:rsidRPr="004A782C">
        <w:rPr>
          <w:rFonts w:eastAsia="Times New Roman"/>
          <w:noProof/>
          <w:color w:val="000000" w:themeColor="text1"/>
          <w:lang w:bidi="ne-NP"/>
        </w:rPr>
        <w:t>(Thake, 2014)</w:t>
      </w:r>
      <w:r w:rsidR="002569F5" w:rsidRPr="004A782C">
        <w:rPr>
          <w:rFonts w:eastAsia="Times New Roman"/>
          <w:color w:val="000000" w:themeColor="text1"/>
          <w:lang w:bidi="ne-NP"/>
        </w:rPr>
        <w:fldChar w:fldCharType="end"/>
      </w:r>
      <w:r w:rsidR="002569F5" w:rsidRPr="004A782C">
        <w:rPr>
          <w:rFonts w:eastAsia="Times New Roman"/>
          <w:color w:val="000000" w:themeColor="text1"/>
          <w:lang w:bidi="ne-NP"/>
        </w:rPr>
        <w:t>.</w:t>
      </w:r>
      <w:r w:rsidR="00544A83" w:rsidRPr="004A782C">
        <w:rPr>
          <w:rFonts w:eastAsia="Times New Roman"/>
          <w:color w:val="000000" w:themeColor="text1"/>
          <w:lang w:bidi="ne-NP"/>
        </w:rPr>
        <w:t xml:space="preserve"> </w:t>
      </w:r>
      <w:r w:rsidR="00071D00" w:rsidRPr="004A782C">
        <w:rPr>
          <w:rFonts w:eastAsia="Times New Roman"/>
          <w:color w:val="000000" w:themeColor="text1"/>
          <w:lang w:bidi="ne-NP"/>
        </w:rPr>
        <w:t xml:space="preserve">However, </w:t>
      </w:r>
      <w:r w:rsidR="00787A32" w:rsidRPr="004A782C">
        <w:rPr>
          <w:rFonts w:eastAsia="Times New Roman"/>
          <w:color w:val="000000" w:themeColor="text1"/>
          <w:lang w:bidi="ne-NP"/>
        </w:rPr>
        <w:t xml:space="preserve">a study in Singapore found a significant relationship between advancing age and increasingly negative attitudes towards individuals with mental illness </w:t>
      </w:r>
      <w:r w:rsidR="00787A32" w:rsidRPr="004A782C">
        <w:rPr>
          <w:rFonts w:eastAsia="Times New Roman"/>
          <w:color w:val="000000" w:themeColor="text1"/>
          <w:lang w:bidi="ne-NP"/>
        </w:rPr>
        <w:fldChar w:fldCharType="begin" w:fldLock="1"/>
      </w:r>
      <w:r w:rsidR="00556E8F" w:rsidRPr="004A782C">
        <w:rPr>
          <w:rFonts w:eastAsia="Times New Roman"/>
          <w:color w:val="000000" w:themeColor="text1"/>
          <w:lang w:bidi="ne-NP"/>
        </w:rPr>
        <w:instrText>ADDIN CSL_CITATION {"citationItems":[{"id":"ITEM-1","itemData":{"DOI":"10.1371/journal.pone.0167297","ISSN":"19326203","PMID":"27893796","abstract":"Background Public attitudes to mental illness could influence how the public interact with, provide opportunities for, and help people with mental illness. Aims This study aims to explore the underlying factors of the Attitudes to Mental Illness questionnaire among the general population in Singapore and the socio-demographic correlates of each factor. Methods From March 2014 to April 2015, a nation-wide cross-sectional survey on mental health literacy with 3,006 participants was conducted in Singapore. Results Factor analysis revealed a 4-factor structure for the Attitudes to Mental Illness questionnaire among the Singapore general population, namely social distancing, tolerance/support for community care, social restrictiveness, and prejudice and misconception. Older age, male gender, lower education and socio-economic status were associated with more negative attitudes towards the mentally ill. Chinese showed more negative attitudes than Indians and Malays (except for prejudice and misconception). Conclusions There is a need for culture-specific interventions, and the associated factors identified in this study should be considered for future attitude campaigns.","author":[{"dropping-particle":"","family":"Yuan","given":"Qi","non-dropping-particle":"","parse-names":false,"suffix":""},{"dropping-particle":"","family":"Abdin","given":"Edimansyah","non-dropping-particle":"","parse-names":false,"suffix":""},{"dropping-particle":"","family":"Picco","given":"Louisa","non-dropping-particle":"","parse-names":false,"suffix":""},{"dropping-particle":"","family":"Vaingankar","given":"Janhavi Ajit","non-dropping-particle":"","parse-names":false,"suffix":""},{"dropping-particle":"","family":"Shahwan","given":"Shazana","non-dropping-particle":"","parse-names":false,"suffix":""},{"dropping-particle":"","family":"Jeyagurunathan","given":"Anitha","non-dropping-particle":"","parse-names":false,"suffix":""},{"dropping-particle":"","family":"Sagayadevan","given":"Vathsala","non-dropping-particle":"","parse-names":false,"suffix":""},{"dropping-particle":"","family":"Shafie","given":"Saleha","non-dropping-particle":"","parse-names":false,"suffix":""},{"dropping-particle":"","family":"Tay","given":"Jenny","non-dropping-particle":"","parse-names":false,"suffix":""},{"dropping-particle":"","family":"Chong","given":"Siow Ann","non-dropping-particle":"","parse-names":false,"suffix":""},{"dropping-particle":"","family":"Subramaniam","given":"Mythily","non-dropping-particle":"","parse-names":false,"suffix":""}],"container-title":"PLoS ONE","id":"ITEM-1","issue":"11","issued":{"date-parts":[["2016"]]},"page":"1-13","title":"Attitudes to mental illness and its demographic correlates among general population in Singapore","type":"article-journal","volume":"11"},"uris":["http://www.mendeley.com/documents/?uuid=62441a50-c703-4d08-bb20-b4e5b7a9a734"]}],"mendeley":{"formattedCitation":"(Yuan et al., 2016)","plainTextFormattedCitation":"(Yuan et al., 2016)","previouslyFormattedCitation":"(Yuan et al., 2016)"},"properties":{"noteIndex":0},"schema":"https://github.com/citation-style-language/schema/raw/master/csl-citation.json"}</w:instrText>
      </w:r>
      <w:r w:rsidR="00787A32" w:rsidRPr="004A782C">
        <w:rPr>
          <w:rFonts w:eastAsia="Times New Roman"/>
          <w:color w:val="000000" w:themeColor="text1"/>
          <w:lang w:bidi="ne-NP"/>
        </w:rPr>
        <w:fldChar w:fldCharType="separate"/>
      </w:r>
      <w:r w:rsidR="00787A32" w:rsidRPr="004A782C">
        <w:rPr>
          <w:rFonts w:eastAsia="Times New Roman"/>
          <w:noProof/>
          <w:color w:val="000000" w:themeColor="text1"/>
          <w:lang w:bidi="ne-NP"/>
        </w:rPr>
        <w:t>(Yuan et al., 2016)</w:t>
      </w:r>
      <w:r w:rsidR="00787A32" w:rsidRPr="004A782C">
        <w:rPr>
          <w:rFonts w:eastAsia="Times New Roman"/>
          <w:color w:val="000000" w:themeColor="text1"/>
          <w:lang w:bidi="ne-NP"/>
        </w:rPr>
        <w:fldChar w:fldCharType="end"/>
      </w:r>
      <w:r w:rsidR="003511B3" w:rsidRPr="004A782C">
        <w:rPr>
          <w:rFonts w:eastAsia="Times New Roman"/>
          <w:color w:val="000000" w:themeColor="text1"/>
          <w:lang w:bidi="ne-NP"/>
        </w:rPr>
        <w:t>. A</w:t>
      </w:r>
      <w:r w:rsidR="007C6F61" w:rsidRPr="004A782C">
        <w:rPr>
          <w:rFonts w:eastAsia="Times New Roman"/>
          <w:color w:val="000000" w:themeColor="text1"/>
          <w:lang w:bidi="ne-NP"/>
        </w:rPr>
        <w:t>nother study</w:t>
      </w:r>
      <w:r w:rsidR="00544A83" w:rsidRPr="004A782C">
        <w:rPr>
          <w:rFonts w:eastAsia="Times New Roman"/>
          <w:color w:val="000000" w:themeColor="text1"/>
          <w:lang w:bidi="ne-NP"/>
        </w:rPr>
        <w:t xml:space="preserve"> found that older age was linked to a negative attitude toward mental health in women</w:t>
      </w:r>
      <w:r w:rsidR="007C6F61" w:rsidRPr="004A782C">
        <w:rPr>
          <w:rFonts w:eastAsia="Times New Roman"/>
          <w:color w:val="000000" w:themeColor="text1"/>
          <w:lang w:bidi="ne-NP"/>
        </w:rPr>
        <w:t xml:space="preserve"> </w:t>
      </w:r>
      <w:r w:rsidR="007C6F61" w:rsidRPr="004A782C">
        <w:rPr>
          <w:rFonts w:eastAsia="Times New Roman"/>
          <w:color w:val="000000" w:themeColor="text1"/>
          <w:lang w:bidi="ne-NP"/>
        </w:rPr>
        <w:fldChar w:fldCharType="begin" w:fldLock="1"/>
      </w:r>
      <w:r w:rsidR="007C6F61" w:rsidRPr="004A782C">
        <w:rPr>
          <w:rFonts w:eastAsia="Times New Roman"/>
          <w:color w:val="000000" w:themeColor="text1"/>
          <w:lang w:bidi="ne-NP"/>
        </w:rPr>
        <w:instrText>ADDIN CSL_CITATION {"citationItems":[{"id":"ITEM-1","itemData":{"DOI":"10.5993/AJHB.44.3.1","ISSN":"19457359","PMID":"32295676","abstract":"Objectives: In the current study, we aimed to compare the levels of and factors associated with mental health attitude between males and females. Of particular interest was ascertaining the degree to which mental health literacy was related to mental health attitude and whether this relationship would vary by gender. Methods: A total of 732 participants aged 18 years or more were recruited from attendees at the 2016 Minnesota State Fair. We used the Mental Health Literacy Scale (MHLS) to measure attitude toward and literacy of mental health. Results: Our multivariate analysis reported that males' mental health attitude was significantly lower than females. Some factors associated with mental health attitude differed by gender as well. Among men, receiving more social support, experiencing higher levels of depression, and being married predicted greater mental health attitude. Among women, older age was associated with lower mental health attitude levels. However, mental health literacy was the strongest factor regardless of gender. Men and women with greater mental health literacy had a more positive mental health attitude. Conclusions: Provision of tailored mental health literacy education both for males and females could potentially improve the public's mental health attitude toward mental illness.","author":[{"dropping-particle":"","family":"Lee","given":"Hee Yun","non-dropping-particle":"","parse-names":false,"suffix":""},{"dropping-particle":"","family":"Hwang","given":"Junseon","non-dropping-particle":"","parse-names":false,"suffix":""},{"dropping-particle":"","family":"Ball","given":"Jennifer G.","non-dropping-particle":"","parse-names":false,"suffix":""},{"dropping-particle":"","family":"Lee","given":"Jongwook","non-dropping-particle":"","parse-names":false,"suffix":""},{"dropping-particle":"","family":"Yu","given":"Youngmi","non-dropping-particle":"","parse-names":false,"suffix":""},{"dropping-particle":"","family":"Albright","given":"David L.","non-dropping-particle":"","parse-names":false,"suffix":""}],"container-title":"American Journal of Health Behavior","id":"ITEM-1","issue":"3","issued":{"date-parts":[["2020"]]},"page":"283-291","title":"Mental health literacy affects mental health attitude: Is there a gender difference?","type":"article-journal","volume":"44"},"uris":["http://www.mendeley.com/documents/?uuid=b0602315-bc9c-408b-a531-4fa18a228c8b"]}],"mendeley":{"formattedCitation":"(Lee et al., 2020)","plainTextFormattedCitation":"(Lee et al., 2020)","previouslyFormattedCitation":"(Lee et al., 2020)"},"properties":{"noteIndex":0},"schema":"https://github.com/citation-style-language/schema/raw/master/csl-citation.json"}</w:instrText>
      </w:r>
      <w:r w:rsidR="007C6F61" w:rsidRPr="004A782C">
        <w:rPr>
          <w:rFonts w:eastAsia="Times New Roman"/>
          <w:color w:val="000000" w:themeColor="text1"/>
          <w:lang w:bidi="ne-NP"/>
        </w:rPr>
        <w:fldChar w:fldCharType="separate"/>
      </w:r>
      <w:r w:rsidR="007C6F61" w:rsidRPr="004A782C">
        <w:rPr>
          <w:rFonts w:eastAsia="Times New Roman"/>
          <w:noProof/>
          <w:color w:val="000000" w:themeColor="text1"/>
          <w:lang w:bidi="ne-NP"/>
        </w:rPr>
        <w:t>(Lee et al., 2020)</w:t>
      </w:r>
      <w:r w:rsidR="007C6F61" w:rsidRPr="004A782C">
        <w:rPr>
          <w:rFonts w:eastAsia="Times New Roman"/>
          <w:color w:val="000000" w:themeColor="text1"/>
          <w:lang w:bidi="ne-NP"/>
        </w:rPr>
        <w:fldChar w:fldCharType="end"/>
      </w:r>
      <w:r w:rsidR="00544A83" w:rsidRPr="004A782C">
        <w:rPr>
          <w:color w:val="000000" w:themeColor="text1"/>
        </w:rPr>
        <w:t>.</w:t>
      </w:r>
    </w:p>
    <w:p w14:paraId="28124968" w14:textId="4437C3BE" w:rsidR="00F15ABF" w:rsidRPr="004A782C" w:rsidRDefault="00787A32" w:rsidP="00B27EBA">
      <w:pPr>
        <w:spacing w:after="0"/>
        <w:ind w:firstLine="720"/>
        <w:contextualSpacing/>
        <w:jc w:val="both"/>
        <w:rPr>
          <w:rFonts w:eastAsia="Times New Roman"/>
          <w:color w:val="000000" w:themeColor="text1"/>
          <w:lang w:bidi="ne-NP"/>
        </w:rPr>
      </w:pPr>
      <w:r w:rsidRPr="004A782C">
        <w:rPr>
          <w:rFonts w:eastAsia="Times New Roman"/>
          <w:color w:val="000000" w:themeColor="text1"/>
          <w:lang w:bidi="ne-NP"/>
        </w:rPr>
        <w:t xml:space="preserve">Both female and male genders demonstrated </w:t>
      </w:r>
      <w:proofErr w:type="spellStart"/>
      <w:r w:rsidRPr="004A782C">
        <w:rPr>
          <w:rFonts w:eastAsia="Times New Roman"/>
          <w:color w:val="000000" w:themeColor="text1"/>
          <w:lang w:bidi="ne-NP"/>
        </w:rPr>
        <w:t>unfavourable</w:t>
      </w:r>
      <w:proofErr w:type="spellEnd"/>
      <w:r w:rsidRPr="004A782C">
        <w:rPr>
          <w:rFonts w:eastAsia="Times New Roman"/>
          <w:color w:val="000000" w:themeColor="text1"/>
          <w:lang w:bidi="ne-NP"/>
        </w:rPr>
        <w:t xml:space="preserve"> attitudes towards mental health problems. The difference between female</w:t>
      </w:r>
      <w:r w:rsidR="00195CA3" w:rsidRPr="004A782C">
        <w:rPr>
          <w:rFonts w:eastAsia="Times New Roman"/>
          <w:color w:val="000000" w:themeColor="text1"/>
          <w:lang w:bidi="ne-NP"/>
        </w:rPr>
        <w:t>s and males was non-</w:t>
      </w:r>
      <w:r w:rsidRPr="004A782C">
        <w:rPr>
          <w:rFonts w:eastAsia="Times New Roman"/>
          <w:color w:val="000000" w:themeColor="text1"/>
          <w:lang w:bidi="ne-NP"/>
        </w:rPr>
        <w:t>significant</w:t>
      </w:r>
      <w:r w:rsidR="007C7201" w:rsidRPr="004A782C">
        <w:rPr>
          <w:rFonts w:eastAsia="Times New Roman"/>
          <w:color w:val="000000" w:themeColor="text1"/>
          <w:lang w:bidi="ne-NP"/>
        </w:rPr>
        <w:t xml:space="preserve"> in the level of attitudes</w:t>
      </w:r>
      <w:r w:rsidR="00C42499" w:rsidRPr="004A782C">
        <w:rPr>
          <w:rFonts w:eastAsia="Times New Roman"/>
          <w:color w:val="000000" w:themeColor="text1"/>
          <w:lang w:bidi="ne-NP"/>
        </w:rPr>
        <w:t xml:space="preserve"> in all dimensions.</w:t>
      </w:r>
      <w:r w:rsidR="00195CA3" w:rsidRPr="004A782C">
        <w:rPr>
          <w:rFonts w:eastAsia="Times New Roman"/>
          <w:color w:val="000000" w:themeColor="text1"/>
          <w:lang w:bidi="ne-NP"/>
        </w:rPr>
        <w:t xml:space="preserve"> This is consistent with another study </w:t>
      </w:r>
      <w:r w:rsidR="00195CA3" w:rsidRPr="004A782C">
        <w:rPr>
          <w:rFonts w:eastAsia="Times New Roman"/>
          <w:color w:val="000000" w:themeColor="text1"/>
          <w:lang w:bidi="ne-NP"/>
        </w:rPr>
        <w:fldChar w:fldCharType="begin" w:fldLock="1"/>
      </w:r>
      <w:r w:rsidR="00195CA3" w:rsidRPr="004A782C">
        <w:rPr>
          <w:rFonts w:eastAsia="Times New Roman"/>
          <w:color w:val="000000" w:themeColor="text1"/>
          <w:lang w:bidi="ne-NP"/>
        </w:rPr>
        <w:instrText>ADDIN CSL_CITATION {"citationItems":[{"id":"ITEM-1","itemData":{"DOI":"10.3390/bs14121189","ISSN":"2076328X","abstract":"(1) Background: Research on mental health literacy (MHL) and attitudes toward mental health problems (ATMHP) among non-medical college students in Nepal is limited. This study examined the relationship between MHL and ATMHP, considering demographic variables and familiarity with mental health issues; (2) Methods: We conducted a cross-sectional survey with 385 college students from Chitwan and Kathmandu, Nepal, using opportunity sampling. Descriptive and inferential statistics examined demographic differences, while Pearson’s correlation assessed relationships among latent variables; (3) Results: No relationship was found between MHL and ATMHP (r = −0.01, p = 0.92). Females had greater awareness of stereotypes (p = 0.025, g = 0.24). Hotel management students showed better self-help strategies (p = 0.036, d = 0.46). Public college students scored higher in self-help strategies than government (p = 0.036, d = −0.32) and private college students (p = 0.02, d = −0.32). Non-employed students outperformed employed ones in self-help strategies (p = 0.002, g = −0.46). Other demographic factors showed no significant relationships; (4) Conclusions: MHL and ATMHP were unrelated, indicating that increasing MHL alone may not improve attitudes. Multidimensional interventions combining education and experiential learning are needed. Certain demographic factors influenced stereotypes and self-help strategies, while others showed no significant impact.","author":[{"dropping-particle":"","family":"Poudel","given":"Dev Bandhu","non-dropping-particle":"","parse-names":false,"suffix":""},{"dropping-particle":"","family":"Sharif","given":"Loujain Saud","non-dropping-particle":"","parse-names":false,"suffix":""},{"dropping-particle":"","family":"Acharya","given":"Samjhana","non-dropping-particle":"","parse-names":false,"suffix":""},{"dropping-particle":"","family":"Mahsoon","given":"Alaa","non-dropping-particle":"","parse-names":false,"suffix":""},{"dropping-particle":"","family":"Sharif","given":"Khalid","non-dropping-particle":"","parse-names":false,"suffix":""},{"dropping-particle":"","family":"Wright","given":"Rebecca","non-dropping-particle":"","parse-names":false,"suffix":""}],"container-title":"Behavioral Sciences","id":"ITEM-1","issue":"12","issued":{"date-parts":[["2024"]]},"page":"1-18","title":"Mental health literacy and attitudes towards mental health problems among college students, Nepal","type":"article-journal","volume":"14"},"uris":["http://www.mendeley.com/documents/?uuid=3992344a-35f5-4019-94b8-8327000efb2c"]}],"mendeley":{"formattedCitation":"(Poudel et al., 2024)","plainTextFormattedCitation":"(Poudel et al., 2024)"},"properties":{"noteIndex":0},"schema":"https://github.com/citation-style-language/schema/raw/master/csl-citation.json"}</w:instrText>
      </w:r>
      <w:r w:rsidR="00195CA3" w:rsidRPr="004A782C">
        <w:rPr>
          <w:rFonts w:eastAsia="Times New Roman"/>
          <w:color w:val="000000" w:themeColor="text1"/>
          <w:lang w:bidi="ne-NP"/>
        </w:rPr>
        <w:fldChar w:fldCharType="separate"/>
      </w:r>
      <w:r w:rsidR="00195CA3" w:rsidRPr="004A782C">
        <w:rPr>
          <w:rFonts w:eastAsia="Times New Roman"/>
          <w:noProof/>
          <w:color w:val="000000" w:themeColor="text1"/>
          <w:lang w:bidi="ne-NP"/>
        </w:rPr>
        <w:t>(Poudel et al., 2024)</w:t>
      </w:r>
      <w:r w:rsidR="00195CA3" w:rsidRPr="004A782C">
        <w:rPr>
          <w:rFonts w:eastAsia="Times New Roman"/>
          <w:color w:val="000000" w:themeColor="text1"/>
          <w:lang w:bidi="ne-NP"/>
        </w:rPr>
        <w:fldChar w:fldCharType="end"/>
      </w:r>
      <w:r w:rsidR="00195CA3" w:rsidRPr="004A782C">
        <w:rPr>
          <w:rFonts w:eastAsia="Times New Roman"/>
          <w:color w:val="000000" w:themeColor="text1"/>
          <w:lang w:bidi="ne-NP"/>
        </w:rPr>
        <w:t>.</w:t>
      </w:r>
      <w:r w:rsidR="00C42499" w:rsidRPr="004A782C">
        <w:rPr>
          <w:rFonts w:eastAsia="Times New Roman"/>
          <w:color w:val="000000" w:themeColor="text1"/>
          <w:lang w:bidi="ne-NP"/>
        </w:rPr>
        <w:t xml:space="preserve"> </w:t>
      </w:r>
      <w:r w:rsidR="00C42499" w:rsidRPr="004A782C">
        <w:rPr>
          <w:color w:val="000000" w:themeColor="text1"/>
        </w:rPr>
        <w:fldChar w:fldCharType="begin" w:fldLock="1"/>
      </w:r>
      <w:r w:rsidR="00C42499" w:rsidRPr="004A782C">
        <w:rPr>
          <w:color w:val="000000" w:themeColor="text1"/>
        </w:rPr>
        <w:instrText>ADDIN CSL_CITATION {"citationItems":[{"id":"ITEM-1","itemData":{"DOI":"10.1080/13674670310001602418","ISSN":"13674676","abstract":"There is increasing evidence suggesting that shame, subordination and entrapment can play a powerful role in psychopathology. However, we know little about how these processes are experienced in different communities. This study therefore sets out to examine South Asian women's views of these processes and how they impact on their lives. It was found that reflected shame and honour (the shame and honour that can be brought to others by one's own behaviour) is called izzat. The importance of maintaining family honour and identifying with it (izzat) was linked to personal shame. It was also given as a reason people can be trapped in difficult relationships. Moreover, fear of reflected shame and loss of izzat were regarded as key reasons South Asian women might not use mental health services. A central fear was a failure by professionals to keep confidentiality - a fear found in other research. © 2004 Taylor &amp; Francis Ltd.","author":[{"dropping-particle":"","family":"Gilbert","given":"Paul","non-dropping-particle":"","parse-names":false,"suffix":""},{"dropping-particle":"","family":"Gilbert","given":"Jean","non-dropping-particle":"","parse-names":false,"suffix":""},{"dropping-particle":"","family":"Sanghera","given":"Jasvinder","non-dropping-particle":"","parse-names":false,"suffix":""}],"container-title":"Mental Health, Religion and Culture","id":"ITEM-1","issue":"2","issued":{"date-parts":[["2004"]]},"page":"109-130","title":"A focus group exploration of the impact of izzat, shame, subordination and entrapment on mental health and service use in South Asian women living in Derby","type":"article-journal","volume":"7"},"uris":["http://www.mendeley.com/documents/?uuid=91d343a0-d1af-4c6a-bf82-1efba55c8593"]}],"mendeley":{"formattedCitation":"(Gilbert et al., 2004)","manualFormatting":"Gilbert et al. (2004)","plainTextFormattedCitation":"(Gilbert et al., 2004)","previouslyFormattedCitation":"(Gilbert et al., 2004)"},"properties":{"noteIndex":0},"schema":"https://github.com/citation-style-language/schema/raw/master/csl-citation.json"}</w:instrText>
      </w:r>
      <w:r w:rsidR="00C42499" w:rsidRPr="004A782C">
        <w:rPr>
          <w:color w:val="000000" w:themeColor="text1"/>
        </w:rPr>
        <w:fldChar w:fldCharType="separate"/>
      </w:r>
      <w:r w:rsidR="00C42499" w:rsidRPr="004A782C">
        <w:rPr>
          <w:noProof/>
          <w:color w:val="000000" w:themeColor="text1"/>
        </w:rPr>
        <w:t>Gilbert et al. (2004)</w:t>
      </w:r>
      <w:r w:rsidR="00C42499" w:rsidRPr="004A782C">
        <w:rPr>
          <w:color w:val="000000" w:themeColor="text1"/>
        </w:rPr>
        <w:fldChar w:fldCharType="end"/>
      </w:r>
      <w:r w:rsidR="00C42499" w:rsidRPr="004A782C">
        <w:rPr>
          <w:color w:val="000000" w:themeColor="text1"/>
        </w:rPr>
        <w:t xml:space="preserve"> found that the concept of familial shame (</w:t>
      </w:r>
      <w:r w:rsidR="00C42499" w:rsidRPr="004A782C">
        <w:rPr>
          <w:i/>
          <w:iCs/>
          <w:color w:val="000000" w:themeColor="text1"/>
        </w:rPr>
        <w:t>izzat</w:t>
      </w:r>
      <w:r w:rsidR="00C42499" w:rsidRPr="004A782C">
        <w:rPr>
          <w:color w:val="000000" w:themeColor="text1"/>
        </w:rPr>
        <w:t xml:space="preserve">) </w:t>
      </w:r>
      <w:r w:rsidR="00E34030" w:rsidRPr="004A782C">
        <w:rPr>
          <w:color w:val="000000" w:themeColor="text1"/>
        </w:rPr>
        <w:t>played a significant role</w:t>
      </w:r>
      <w:r w:rsidR="00C42499" w:rsidRPr="004A782C">
        <w:rPr>
          <w:color w:val="000000" w:themeColor="text1"/>
        </w:rPr>
        <w:t xml:space="preserve"> in Asian women's experiences.</w:t>
      </w:r>
      <w:r w:rsidR="007C6F61" w:rsidRPr="004A782C">
        <w:rPr>
          <w:color w:val="000000" w:themeColor="text1"/>
        </w:rPr>
        <w:t xml:space="preserve"> </w:t>
      </w:r>
      <w:r w:rsidR="007C6F61" w:rsidRPr="004A782C">
        <w:rPr>
          <w:color w:val="000000" w:themeColor="text1"/>
        </w:rPr>
        <w:fldChar w:fldCharType="begin" w:fldLock="1"/>
      </w:r>
      <w:r w:rsidR="00642CEE" w:rsidRPr="004A782C">
        <w:rPr>
          <w:color w:val="000000" w:themeColor="text1"/>
        </w:rPr>
        <w:instrText>ADDIN CSL_CITATION {"citationItems":[{"id":"ITEM-1","itemData":{"DOI":"10.4103/0253-7176.116244","ISSN":"02537176","abstract":"Background: Mental illness have been largely ignored or neglected because of a community's perception and attached social stigma. Materials and Methods: A community based cross-sectional study was conducted in an urban community in South Delhi to study perception and attitude of the community about towards mental illness. An adult member in household selected by systematic random sampling was interviewed using semi-structured interview schedule for perception about mental illness and 34 item Opinion about Mental Illness for Chinese Community (OMICC) scale Results: A total of 100 adults were interviewed. Mean age of the participants was 35.8 (SD: 12.6) years. Living without tension and satisfaction in routine life were identified as indicators of healthy mental status. Change in the behavior was perceived as the most common symptom of mental illness. Although mental stress was identified as the most common cause of mental illness, 25% attributed it to evil spirits. Keeping surroundings friendly and sharing problems with others were identified as - important preventive measures against mental illness. Mental illness was perceived as treatable; 12% preferred treatment from Tantric/Ojha. Community showed negative attitude for stereotyping, restrictiveness, and pessimistic prediction domains of OMICC scale with mean score of 4.5 (SD: 0.2), 3.9 (SD: 0.9), and 3.8 (SD: 0.4), respectively, with no statistically significant difference across age, sex, and literacy. Conclusion: Study observed lack of awareness regarding bio-medical concept of mental illness with socially restrictive, stereotyping, pessimistic, and non-stigmatizing attitude toward mental illness in the capital city.","author":[{"dropping-particle":"","family":"Salve","given":"Harshal","non-dropping-particle":"","parse-names":false,"suffix":""},{"dropping-particle":"","family":"Goswami","given":"Kiran","non-dropping-particle":"","parse-names":false,"suffix":""},{"dropping-particle":"","family":"Sagar","given":"Rajesh","non-dropping-particle":"","parse-names":false,"suffix":""},{"dropping-particle":"","family":"Nongkynrih","given":"Baridalyne","non-dropping-particle":"","parse-names":false,"suffix":""},{"dropping-particle":"","family":"Sreenivas","given":"Vishnubhatla","non-dropping-particle":"","parse-names":false,"suffix":""}],"container-title":"Indian Journal of Psychological Medicine","id":"ITEM-1","issue":"2","issued":{"date-parts":[["2013"]]},"page":"154-158","title":"Perception and attitude towards mental illness in an urban community in South Delhi - A community based study","type":"article-journal","volume":"35"},"uris":["http://www.mendeley.com/documents/?uuid=24cb1467-5893-44b5-b290-1e041f4fdade"]}],"mendeley":{"formattedCitation":"(Salve et al., 2013)","manualFormatting":"Salve et al. (2013)","plainTextFormattedCitation":"(Salve et al., 2013)","previouslyFormattedCitation":"(Salve et al., 2013)"},"properties":{"noteIndex":0},"schema":"https://github.com/citation-style-language/schema/raw/master/csl-citation.json"}</w:instrText>
      </w:r>
      <w:r w:rsidR="007C6F61" w:rsidRPr="004A782C">
        <w:rPr>
          <w:color w:val="000000" w:themeColor="text1"/>
        </w:rPr>
        <w:fldChar w:fldCharType="separate"/>
      </w:r>
      <w:r w:rsidR="00642CEE" w:rsidRPr="004A782C">
        <w:rPr>
          <w:noProof/>
          <w:color w:val="000000" w:themeColor="text1"/>
        </w:rPr>
        <w:t>Salve et al.</w:t>
      </w:r>
      <w:r w:rsidR="003511B3" w:rsidRPr="004A782C">
        <w:rPr>
          <w:noProof/>
          <w:color w:val="000000" w:themeColor="text1"/>
        </w:rPr>
        <w:t xml:space="preserve"> </w:t>
      </w:r>
      <w:r w:rsidR="00642CEE" w:rsidRPr="004A782C">
        <w:rPr>
          <w:noProof/>
          <w:color w:val="000000" w:themeColor="text1"/>
        </w:rPr>
        <w:t>(</w:t>
      </w:r>
      <w:r w:rsidR="003511B3" w:rsidRPr="004A782C">
        <w:rPr>
          <w:noProof/>
          <w:color w:val="000000" w:themeColor="text1"/>
        </w:rPr>
        <w:t>2013)</w:t>
      </w:r>
      <w:r w:rsidR="007C6F61" w:rsidRPr="004A782C">
        <w:rPr>
          <w:color w:val="000000" w:themeColor="text1"/>
        </w:rPr>
        <w:fldChar w:fldCharType="end"/>
      </w:r>
      <w:r w:rsidR="00C42499" w:rsidRPr="004A782C">
        <w:rPr>
          <w:color w:val="000000" w:themeColor="text1"/>
        </w:rPr>
        <w:t xml:space="preserve"> </w:t>
      </w:r>
      <w:r w:rsidR="002862C2" w:rsidRPr="004A782C">
        <w:rPr>
          <w:color w:val="000000" w:themeColor="text1"/>
        </w:rPr>
        <w:t xml:space="preserve">found non-significant gender differences in the level of attitude towards mental illness. Similarly, </w:t>
      </w:r>
      <w:r w:rsidR="006D2D09" w:rsidRPr="004A782C">
        <w:rPr>
          <w:color w:val="000000" w:themeColor="text1"/>
        </w:rPr>
        <w:t xml:space="preserve">another study found </w:t>
      </w:r>
      <w:r w:rsidR="002862C2" w:rsidRPr="004A782C">
        <w:rPr>
          <w:color w:val="000000" w:themeColor="text1"/>
        </w:rPr>
        <w:t>non-significant relationship between genders in the level of stigma</w:t>
      </w:r>
      <w:r w:rsidR="006D2D09" w:rsidRPr="004A782C">
        <w:rPr>
          <w:color w:val="000000" w:themeColor="text1"/>
        </w:rPr>
        <w:t xml:space="preserve"> in Nepal</w:t>
      </w:r>
      <w:r w:rsidR="002862C2" w:rsidRPr="004A782C">
        <w:rPr>
          <w:color w:val="000000" w:themeColor="text1"/>
        </w:rPr>
        <w:t xml:space="preserve"> (Pokharel &amp; Pokharel, 2017). </w:t>
      </w:r>
      <w:r w:rsidR="006D2D09" w:rsidRPr="004A782C">
        <w:rPr>
          <w:rFonts w:eastAsia="Times New Roman"/>
          <w:color w:val="000000" w:themeColor="text1"/>
          <w:lang w:bidi="ne-NP"/>
        </w:rPr>
        <w:t xml:space="preserve">However, </w:t>
      </w:r>
      <w:r w:rsidR="00E34030" w:rsidRPr="004A782C">
        <w:rPr>
          <w:rFonts w:eastAsia="Times New Roman"/>
          <w:color w:val="000000" w:themeColor="text1"/>
          <w:lang w:bidi="ne-NP"/>
        </w:rPr>
        <w:t>another study found that males had significantly higher levels</w:t>
      </w:r>
      <w:r w:rsidR="006D2D09" w:rsidRPr="004A782C">
        <w:rPr>
          <w:rFonts w:eastAsia="Times New Roman"/>
          <w:color w:val="000000" w:themeColor="text1"/>
          <w:lang w:bidi="ne-NP"/>
        </w:rPr>
        <w:t xml:space="preserve"> of </w:t>
      </w:r>
      <w:proofErr w:type="spellStart"/>
      <w:r w:rsidR="006D2D09" w:rsidRPr="004A782C">
        <w:rPr>
          <w:rFonts w:eastAsia="Times New Roman"/>
          <w:color w:val="000000" w:themeColor="text1"/>
          <w:lang w:bidi="ne-NP"/>
        </w:rPr>
        <w:t>unfavourable</w:t>
      </w:r>
      <w:proofErr w:type="spellEnd"/>
      <w:r w:rsidR="006D2D09" w:rsidRPr="004A782C">
        <w:rPr>
          <w:rFonts w:eastAsia="Times New Roman"/>
          <w:color w:val="000000" w:themeColor="text1"/>
          <w:lang w:bidi="ne-NP"/>
        </w:rPr>
        <w:t xml:space="preserve"> attitudes towards </w:t>
      </w:r>
      <w:r w:rsidR="006D2D09" w:rsidRPr="004A782C">
        <w:rPr>
          <w:rFonts w:eastAsia="Times New Roman"/>
          <w:color w:val="000000" w:themeColor="text1"/>
          <w:lang w:bidi="ne-NP"/>
        </w:rPr>
        <w:lastRenderedPageBreak/>
        <w:t>mental health problems than females</w:t>
      </w:r>
      <w:r w:rsidR="004B5AFA" w:rsidRPr="004A782C">
        <w:rPr>
          <w:rFonts w:eastAsia="Times New Roman"/>
          <w:color w:val="000000" w:themeColor="text1"/>
          <w:lang w:bidi="ne-NP"/>
        </w:rPr>
        <w:t xml:space="preserve"> </w:t>
      </w:r>
      <w:r w:rsidR="004B5AFA" w:rsidRPr="004A782C">
        <w:rPr>
          <w:rFonts w:eastAsia="Times New Roman"/>
          <w:color w:val="000000" w:themeColor="text1"/>
          <w:lang w:bidi="ne-NP"/>
        </w:rPr>
        <w:fldChar w:fldCharType="begin" w:fldLock="1"/>
      </w:r>
      <w:r w:rsidR="004B5AFA" w:rsidRPr="004A782C">
        <w:rPr>
          <w:rFonts w:eastAsia="Times New Roman"/>
          <w:color w:val="000000" w:themeColor="text1"/>
          <w:lang w:bidi="ne-NP"/>
        </w:rPr>
        <w:instrText>ADDIN CSL_CITATION {"citationItems":[{"id":"ITEM-1","itemData":{"DOI":"10.3126/jpan.v9i1.31337","ISSN":"2091-2862","abstract":" \r  Introduction: Mental disorders are recognized as a major contributor (12%) to the global burden of disease and are among the most stigmatizing conditions worldwide. The lack of awareness is very evident in Nepal. In this study, we aimed to learn about the attitude of senior secondary level students towards mental illness.\r Material And Method: Descriptive cross-sectional study was conducted amongst senior secondary level students to investigate about their attitude towards mental illness. We recruited a sample of 138 students from classes 11 and 12 from a conveniently sampled school of Dharan Sub-metropolitan. Semi-structured questionnaire was used to elicit the information.\r Results: Our study group consisted of 53.6% females while 46.4% were males. Equal numbers of students were sampled from each grades with their ages ranging from 14-18 years. The mean for total of BMI scale was 52 and the standard deviation was observed to be 12.810. The T-tests revealed males had more negative attitude than the female students which was statistically significant with a p value of 0.048. Our study revealed that there was a significant negative correlation between the attitude scores and the grade the respondents were studying and also between the gender of the respondent, father’s and mother’s education level and in students having a family member or neighbor suffer from mental illness.\r Conclusion: Most of the students in the senior secondary level were found to have negative attitudes towards mental illness though no any variables were found to be contributing towards such perceptions from our research.","author":[{"dropping-particle":"","family":"Nepal","given":"S","non-dropping-particle":"","parse-names":false,"suffix":""},{"dropping-particle":"","family":"Rayamajhi","given":"A","non-dropping-particle":"","parse-names":false,"suffix":""},{"dropping-particle":"","family":"Shrestha","given":"M.","non-dropping-particle":"","parse-names":false,"suffix":""},{"dropping-particle":"","family":"Aryal","given":"N","non-dropping-particle":"","parse-names":false,"suffix":""}],"container-title":"Journal of Psychiatrists' Association of Nepal","id":"ITEM-1","issue":"1","issued":{"date-parts":[["2020"]]},"page":"47-52","title":"Attitude of Senior Secondary Level Students towards Mental Illness","type":"article-journal","volume":"9"},"uris":["http://www.mendeley.com/documents/?uuid=33a77d40-d05b-4980-a362-3b2ca480d39e"]}],"mendeley":{"formattedCitation":"(Nepal et al., 2020)","manualFormatting":"(Nepal et al., 2020","plainTextFormattedCitation":"(Nepal et al., 2020)","previouslyFormattedCitation":"(Nepal et al., 2020)"},"properties":{"noteIndex":0},"schema":"https://github.com/citation-style-language/schema/raw/master/csl-citation.json"}</w:instrText>
      </w:r>
      <w:r w:rsidR="004B5AFA" w:rsidRPr="004A782C">
        <w:rPr>
          <w:rFonts w:eastAsia="Times New Roman"/>
          <w:color w:val="000000" w:themeColor="text1"/>
          <w:lang w:bidi="ne-NP"/>
        </w:rPr>
        <w:fldChar w:fldCharType="separate"/>
      </w:r>
      <w:r w:rsidR="004B5AFA" w:rsidRPr="004A782C">
        <w:rPr>
          <w:rFonts w:eastAsia="Times New Roman"/>
          <w:noProof/>
          <w:color w:val="000000" w:themeColor="text1"/>
          <w:lang w:bidi="ne-NP"/>
        </w:rPr>
        <w:t>(Nepal et al., 2020</w:t>
      </w:r>
      <w:r w:rsidR="004B5AFA" w:rsidRPr="004A782C">
        <w:rPr>
          <w:rFonts w:eastAsia="Times New Roman"/>
          <w:color w:val="000000" w:themeColor="text1"/>
          <w:lang w:bidi="ne-NP"/>
        </w:rPr>
        <w:fldChar w:fldCharType="end"/>
      </w:r>
      <w:r w:rsidR="004B5AFA" w:rsidRPr="004A782C">
        <w:rPr>
          <w:rFonts w:eastAsia="Times New Roman"/>
          <w:color w:val="000000" w:themeColor="text1"/>
          <w:lang w:bidi="ne-NP"/>
        </w:rPr>
        <w:t>;</w:t>
      </w:r>
      <w:r w:rsidR="007C6F61" w:rsidRPr="004A782C">
        <w:rPr>
          <w:rFonts w:eastAsia="Times New Roman"/>
          <w:color w:val="000000" w:themeColor="text1"/>
          <w:lang w:bidi="ne-NP"/>
        </w:rPr>
        <w:t xml:space="preserve"> </w:t>
      </w:r>
      <w:r w:rsidR="007C6F61" w:rsidRPr="004A782C">
        <w:rPr>
          <w:rFonts w:eastAsia="Times New Roman"/>
          <w:color w:val="000000" w:themeColor="text1"/>
          <w:lang w:bidi="ne-NP"/>
        </w:rPr>
        <w:fldChar w:fldCharType="begin" w:fldLock="1"/>
      </w:r>
      <w:r w:rsidR="004B5AFA" w:rsidRPr="004A782C">
        <w:rPr>
          <w:rFonts w:eastAsia="Times New Roman"/>
          <w:color w:val="000000" w:themeColor="text1"/>
          <w:lang w:bidi="ne-NP"/>
        </w:rPr>
        <w:instrText>ADDIN CSL_CITATION {"citationItems":[{"id":"ITEM-1","itemData":{"DOI":"10.1371/journal.pone.0167297","ISSN":"19326203","PMID":"27893796","abstract":"Background Public attitudes to mental illness could influence how the public interact with, provide opportunities for, and help people with mental illness. Aims This study aims to explore the underlying factors of the Attitudes to Mental Illness questionnaire among the general population in Singapore and the socio-demographic correlates of each factor. Methods From March 2014 to April 2015, a nation-wide cross-sectional survey on mental health literacy with 3,006 participants was conducted in Singapore. Results Factor analysis revealed a 4-factor structure for the Attitudes to Mental Illness questionnaire among the Singapore general population, namely social distancing, tolerance/support for community care, social restrictiveness, and prejudice and misconception. Older age, male gender, lower education and socio-economic status were associated with more negative attitudes towards the mentally ill. Chinese showed more negative attitudes than Indians and Malays (except for prejudice and misconception). Conclusions There is a need for culture-specific interventions, and the associated factors identified in this study should be considered for future attitude campaigns.","author":[{"dropping-particle":"","family":"Yuan","given":"Qi","non-dropping-particle":"","parse-names":false,"suffix":""},{"dropping-particle":"","family":"Abdin","given":"Edimansyah","non-dropping-particle":"","parse-names":false,"suffix":""},{"dropping-particle":"","family":"Picco","given":"Louisa","non-dropping-particle":"","parse-names":false,"suffix":""},{"dropping-particle":"","family":"Vaingankar","given":"Janhavi Ajit","non-dropping-particle":"","parse-names":false,"suffix":""},{"dropping-particle":"","family":"Shahwan","given":"Shazana","non-dropping-particle":"","parse-names":false,"suffix":""},{"dropping-particle":"","family":"Jeyagurunathan","given":"Anitha","non-dropping-particle":"","parse-names":false,"suffix":""},{"dropping-particle":"","family":"Sagayadevan","given":"Vathsala","non-dropping-particle":"","parse-names":false,"suffix":""},{"dropping-particle":"","family":"Shafie","given":"Saleha","non-dropping-particle":"","parse-names":false,"suffix":""},{"dropping-particle":"","family":"Tay","given":"Jenny","non-dropping-particle":"","parse-names":false,"suffix":""},{"dropping-particle":"","family":"Chong","given":"Siow Ann","non-dropping-particle":"","parse-names":false,"suffix":""},{"dropping-particle":"","family":"Subramaniam","given":"Mythily","non-dropping-particle":"","parse-names":false,"suffix":""}],"container-title":"PLoS ONE","id":"ITEM-1","issue":"11","issued":{"date-parts":[["2016"]]},"page":"1-13","title":"Attitudes to mental illness and its demographic correlates among general population in Singapore","type":"article-journal","volume":"11"},"uris":["http://www.mendeley.com/documents/?uuid=62441a50-c703-4d08-bb20-b4e5b7a9a734"]}],"mendeley":{"formattedCitation":"(Yuan et al., 2016)","manualFormatting":"Yuan et al., 2016)","plainTextFormattedCitation":"(Yuan et al., 2016)","previouslyFormattedCitation":"(Yuan et al., 2016)"},"properties":{"noteIndex":0},"schema":"https://github.com/citation-style-language/schema/raw/master/csl-citation.json"}</w:instrText>
      </w:r>
      <w:r w:rsidR="007C6F61" w:rsidRPr="004A782C">
        <w:rPr>
          <w:rFonts w:eastAsia="Times New Roman"/>
          <w:color w:val="000000" w:themeColor="text1"/>
          <w:lang w:bidi="ne-NP"/>
        </w:rPr>
        <w:fldChar w:fldCharType="separate"/>
      </w:r>
      <w:r w:rsidR="007C6F61" w:rsidRPr="004A782C">
        <w:rPr>
          <w:rFonts w:eastAsia="Times New Roman"/>
          <w:noProof/>
          <w:color w:val="000000" w:themeColor="text1"/>
          <w:lang w:bidi="ne-NP"/>
        </w:rPr>
        <w:t>Yuan et al., 2016)</w:t>
      </w:r>
      <w:r w:rsidR="007C6F61" w:rsidRPr="004A782C">
        <w:rPr>
          <w:rFonts w:eastAsia="Times New Roman"/>
          <w:color w:val="000000" w:themeColor="text1"/>
          <w:lang w:bidi="ne-NP"/>
        </w:rPr>
        <w:fldChar w:fldCharType="end"/>
      </w:r>
      <w:r w:rsidR="007C6F61" w:rsidRPr="004A782C">
        <w:rPr>
          <w:rFonts w:eastAsia="Times New Roman"/>
          <w:noProof/>
          <w:color w:val="000000" w:themeColor="text1"/>
          <w:lang w:bidi="ne-NP"/>
        </w:rPr>
        <w:t xml:space="preserve">. </w:t>
      </w:r>
      <w:r w:rsidR="00DE5ED4" w:rsidRPr="004A782C">
        <w:rPr>
          <w:color w:val="000000" w:themeColor="text1"/>
        </w:rPr>
        <w:t>Contrarily,</w:t>
      </w:r>
      <w:r w:rsidR="00CD5DC5" w:rsidRPr="004A782C">
        <w:rPr>
          <w:color w:val="000000" w:themeColor="text1"/>
        </w:rPr>
        <w:t xml:space="preserve"> </w:t>
      </w:r>
      <w:r w:rsidR="00CD5DC5" w:rsidRPr="004A782C">
        <w:rPr>
          <w:color w:val="000000" w:themeColor="text1"/>
        </w:rPr>
        <w:fldChar w:fldCharType="begin" w:fldLock="1"/>
      </w:r>
      <w:r w:rsidR="00CD5DC5" w:rsidRPr="004A782C">
        <w:rPr>
          <w:color w:val="000000" w:themeColor="text1"/>
        </w:rPr>
        <w:instrText>ADDIN CSL_CITATION {"citationItems":[{"id":"ITEM-1","itemData":{"DOI":"10.1371/journal.pone.0158113","ISSN":"19326203","PMID":"27336391","abstract":"Background Mental illness is stigmatized in most of the communities and people with such illness are often subjected to defame. Stigma impairs an individual's and their caregiver's physical, social and emotional wellbeing, and health-seeking behavior. Sufficient literature on how often the caregivers of people with mental illness from low and middle-income countries are stigmatized and how they perceive people with mental illness is unavailable. In this study, we examined caregivers' attitude towards people with mental illness and perceived stigma. Methods We conducted face- To-face interviews with 170 caregivers in an outpatient clinic of a hospital in Nepal using a structured questionnaire.We calculated median and inter-quartile range of the attitude and perceived stigma scores. To assess the correlates, Kruskal Wallis H test and Mann Whitney U test were carried out. Results Overall median score for the domains: Attitude (score range: 18-90) and perceived stigma (score range: 12-60) were 42 and 28 respectively, inter-quartile range being 8 each. Attitude score differed significantly by the sex of caregiver (p&lt;0.05), educational status of caregiver (p&lt;0.001), sex of patient (p&lt;0.05) and type of mental illness (p&lt;0.05). Perceived stigma score varied significantly by caregiver's sex (p&lt;0.05), marital status (p&lt;0.001), educational status (p&lt;0.001), occupation (p&lt;0.05), relation with the patient (p&lt;0.005) and use of alternative treatment modalities (p&lt;0.05). Conclusion Sex of participant, educational status, sex of patient and type of mental illness were the correlates of attitude towards mental illness. Similarly, sex of participant, marital status, educational status, occupation, caregiver's relation with patient and use of alternative treatment modalities were correlates of perceived stigma. Findings of this study suggest that interventions targeting these high-risk populations might be beneficial to help build a positive attitude and overcome the perceived social stigma.","author":[{"dropping-particle":"","family":"Neupane","given":"Dipika","non-dropping-particle":"","parse-names":false,"suffix":""},{"dropping-particle":"","family":"Dhakal","given":"Sarmila","non-dropping-particle":"","parse-names":false,"suffix":""},{"dropping-particle":"","family":"Thapa","given":"Sabita","non-dropping-particle":"","parse-names":false,"suffix":""},{"dropping-particle":"","family":"Bhandari","given":"Parash Mani","non-dropping-particle":"","parse-names":false,"suffix":""},{"dropping-particle":"","family":"Mishra","given":"Shiva Raj","non-dropping-particle":"","parse-names":false,"suffix":""}],"container-title":"PLoS ONE","id":"ITEM-1","issue":"6","issued":{"date-parts":[["2016"]]},"page":"1-12","title":"Caregivers' attitude towards people with mental illness and perceived stigma: A cross- sectional study in a tertiary hospital in Nepal","type":"article-journal","volume":"11"},"uris":["http://www.mendeley.com/documents/?uuid=96679284-6cc8-4f05-80f4-84ccfdd1a423"]}],"mendeley":{"formattedCitation":"(Neupane et al., 2016)","manualFormatting":"Neupane et al. (2016)","plainTextFormattedCitation":"(Neupane et al., 2016)","previouslyFormattedCitation":"(Neupane et al., 2016)"},"properties":{"noteIndex":0},"schema":"https://github.com/citation-style-language/schema/raw/master/csl-citation.json"}</w:instrText>
      </w:r>
      <w:r w:rsidR="00CD5DC5" w:rsidRPr="004A782C">
        <w:rPr>
          <w:color w:val="000000" w:themeColor="text1"/>
        </w:rPr>
        <w:fldChar w:fldCharType="separate"/>
      </w:r>
      <w:r w:rsidR="00CD5DC5" w:rsidRPr="004A782C">
        <w:rPr>
          <w:noProof/>
          <w:color w:val="000000" w:themeColor="text1"/>
        </w:rPr>
        <w:t>Neupane et al. (2016)</w:t>
      </w:r>
      <w:r w:rsidR="00CD5DC5" w:rsidRPr="004A782C">
        <w:rPr>
          <w:color w:val="000000" w:themeColor="text1"/>
        </w:rPr>
        <w:fldChar w:fldCharType="end"/>
      </w:r>
      <w:r w:rsidR="00DE5ED4" w:rsidRPr="004A782C">
        <w:rPr>
          <w:color w:val="000000" w:themeColor="text1"/>
        </w:rPr>
        <w:t xml:space="preserve"> discovered a significant association between the sex of the caregiver and the sex of the patients, wherein females exhibited notably lower attitude scores compared to males.</w:t>
      </w:r>
      <w:r w:rsidR="00C42499" w:rsidRPr="004A782C">
        <w:rPr>
          <w:color w:val="000000" w:themeColor="text1"/>
        </w:rPr>
        <w:t xml:space="preserve"> </w:t>
      </w:r>
    </w:p>
    <w:p w14:paraId="459BD008" w14:textId="126F7E26" w:rsidR="00F15ABF" w:rsidRPr="004A782C" w:rsidRDefault="00642CEE" w:rsidP="00B27EBA">
      <w:pPr>
        <w:spacing w:after="0"/>
        <w:ind w:firstLine="720"/>
        <w:contextualSpacing/>
        <w:jc w:val="both"/>
        <w:rPr>
          <w:color w:val="000000" w:themeColor="text1"/>
        </w:rPr>
      </w:pPr>
      <w:r w:rsidRPr="004A782C">
        <w:rPr>
          <w:rFonts w:eastAsia="Times New Roman"/>
          <w:color w:val="000000" w:themeColor="text1"/>
          <w:lang w:bidi="ne-NP"/>
        </w:rPr>
        <w:t>I</w:t>
      </w:r>
      <w:r w:rsidR="002E6AF2" w:rsidRPr="004A782C">
        <w:rPr>
          <w:rFonts w:eastAsia="Times New Roman"/>
          <w:color w:val="000000" w:themeColor="text1"/>
          <w:lang w:bidi="ne-NP"/>
        </w:rPr>
        <w:t xml:space="preserve"> observed </w:t>
      </w:r>
      <w:proofErr w:type="spellStart"/>
      <w:r w:rsidR="002E6AF2" w:rsidRPr="004A782C">
        <w:rPr>
          <w:rFonts w:eastAsia="Times New Roman"/>
          <w:color w:val="000000" w:themeColor="text1"/>
          <w:lang w:bidi="ne-NP"/>
        </w:rPr>
        <w:t>unfavourable</w:t>
      </w:r>
      <w:proofErr w:type="spellEnd"/>
      <w:r w:rsidR="002E6AF2" w:rsidRPr="004A782C">
        <w:rPr>
          <w:rFonts w:eastAsia="Times New Roman"/>
          <w:color w:val="000000" w:themeColor="text1"/>
          <w:lang w:bidi="ne-NP"/>
        </w:rPr>
        <w:t xml:space="preserve"> attitudes towards mental health problems in all ethnic groups with non-significant difference</w:t>
      </w:r>
      <w:r w:rsidR="00E34030" w:rsidRPr="004A782C">
        <w:rPr>
          <w:rFonts w:eastAsia="Times New Roman"/>
          <w:color w:val="000000" w:themeColor="text1"/>
          <w:lang w:bidi="ne-NP"/>
        </w:rPr>
        <w:t>s</w:t>
      </w:r>
      <w:r w:rsidR="002E6AF2" w:rsidRPr="004A782C">
        <w:rPr>
          <w:rFonts w:eastAsia="Times New Roman"/>
          <w:color w:val="000000" w:themeColor="text1"/>
          <w:lang w:bidi="ne-NP"/>
        </w:rPr>
        <w:t xml:space="preserve"> in each dimension.</w:t>
      </w:r>
      <w:r w:rsidR="00544A83" w:rsidRPr="004A782C">
        <w:rPr>
          <w:rFonts w:eastAsia="Times New Roman"/>
          <w:color w:val="000000" w:themeColor="text1"/>
          <w:lang w:bidi="ne-NP"/>
        </w:rPr>
        <w:t xml:space="preserve"> Similar to this finding, </w:t>
      </w:r>
      <w:r w:rsidR="00544A83" w:rsidRPr="004A782C">
        <w:rPr>
          <w:color w:val="000000" w:themeColor="text1"/>
        </w:rPr>
        <w:fldChar w:fldCharType="begin" w:fldLock="1"/>
      </w:r>
      <w:r w:rsidR="00544A83" w:rsidRPr="004A782C">
        <w:rPr>
          <w:color w:val="000000" w:themeColor="text1"/>
        </w:rPr>
        <w:instrText>ADDIN CSL_CITATION {"citationItems":[{"id":"ITEM-1","itemData":{"DOI":"10.3126/jpan.v9i1.31337","ISSN":"2091-2862","abstract":" \r  Introduction: Mental disorders are recognized as a major contributor (12%) to the global burden of disease and are among the most stigmatizing conditions worldwide. The lack of awareness is very evident in Nepal. In this study, we aimed to learn about the attitude of senior secondary level students towards mental illness.\r Material And Method: Descriptive cross-sectional study was conducted amongst senior secondary level students to investigate about their attitude towards mental illness. We recruited a sample of 138 students from classes 11 and 12 from a conveniently sampled school of Dharan Sub-metropolitan. Semi-structured questionnaire was used to elicit the information.\r Results: Our study group consisted of 53.6% females while 46.4% were males. Equal numbers of students were sampled from each grades with their ages ranging from 14-18 years. The mean for total of BMI scale was 52 and the standard deviation was observed to be 12.810. The T-tests revealed males had more negative attitude than the female students which was statistically significant with a p value of 0.048. Our study revealed that there was a significant negative correlation between the attitude scores and the grade the respondents were studying and also between the gender of the respondent, father’s and mother’s education level and in students having a family member or neighbor suffer from mental illness.\r Conclusion: Most of the students in the senior secondary level were found to have negative attitudes towards mental illness though no any variables were found to be contributing towards such perceptions from our research.","author":[{"dropping-particle":"","family":"Nepal","given":"S","non-dropping-particle":"","parse-names":false,"suffix":""},{"dropping-particle":"","family":"Rayamajhi","given":"A","non-dropping-particle":"","parse-names":false,"suffix":""},{"dropping-particle":"","family":"Shrestha","given":"M.","non-dropping-particle":"","parse-names":false,"suffix":""},{"dropping-particle":"","family":"Aryal","given":"N","non-dropping-particle":"","parse-names":false,"suffix":""}],"container-title":"Journal of Psychiatrists' Association of Nepal","id":"ITEM-1","issue":"1","issued":{"date-parts":[["2020"]]},"page":"47-52","title":"Attitude of Senior Secondary Level Students towards Mental Illness","type":"article-journal","volume":"9"},"uris":["http://www.mendeley.com/documents/?uuid=33a77d40-d05b-4980-a362-3b2ca480d39e"]}],"mendeley":{"formattedCitation":"(Nepal et al., 2020)","manualFormatting":"Nepal et al., (2020)","plainTextFormattedCitation":"(Nepal et al., 2020)","previouslyFormattedCitation":"(Nepal et al., 2020)"},"properties":{"noteIndex":0},"schema":"https://github.com/citation-style-language/schema/raw/master/csl-citation.json"}</w:instrText>
      </w:r>
      <w:r w:rsidR="00544A83" w:rsidRPr="004A782C">
        <w:rPr>
          <w:color w:val="000000" w:themeColor="text1"/>
        </w:rPr>
        <w:fldChar w:fldCharType="separate"/>
      </w:r>
      <w:r w:rsidR="00544A83" w:rsidRPr="004A782C">
        <w:rPr>
          <w:noProof/>
          <w:color w:val="000000" w:themeColor="text1"/>
        </w:rPr>
        <w:t>Nepal et al., (2020)</w:t>
      </w:r>
      <w:r w:rsidR="00544A83" w:rsidRPr="004A782C">
        <w:rPr>
          <w:color w:val="000000" w:themeColor="text1"/>
        </w:rPr>
        <w:fldChar w:fldCharType="end"/>
      </w:r>
      <w:r w:rsidR="00C24B32" w:rsidRPr="004A782C">
        <w:rPr>
          <w:color w:val="000000" w:themeColor="text1"/>
        </w:rPr>
        <w:t xml:space="preserve"> reported</w:t>
      </w:r>
      <w:r w:rsidR="00544A83" w:rsidRPr="004A782C">
        <w:rPr>
          <w:color w:val="000000" w:themeColor="text1"/>
        </w:rPr>
        <w:t xml:space="preserve"> that ethni</w:t>
      </w:r>
      <w:r w:rsidR="00C24B32" w:rsidRPr="004A782C">
        <w:rPr>
          <w:color w:val="000000" w:themeColor="text1"/>
        </w:rPr>
        <w:t xml:space="preserve">city had no effect in attitude. </w:t>
      </w:r>
      <w:r w:rsidR="000F6259" w:rsidRPr="004A782C">
        <w:rPr>
          <w:color w:val="000000" w:themeColor="text1"/>
        </w:rPr>
        <w:t xml:space="preserve">Similarly, </w:t>
      </w:r>
      <w:r w:rsidR="00DE3208" w:rsidRPr="004A782C">
        <w:rPr>
          <w:rFonts w:eastAsia="Times New Roman"/>
          <w:color w:val="000000" w:themeColor="text1"/>
          <w:lang w:bidi="ne-NP"/>
        </w:rPr>
        <w:t>my study</w:t>
      </w:r>
      <w:r w:rsidR="00C24B32" w:rsidRPr="004A782C">
        <w:rPr>
          <w:rFonts w:eastAsia="Times New Roman"/>
          <w:color w:val="000000" w:themeColor="text1"/>
          <w:lang w:bidi="ne-NP"/>
        </w:rPr>
        <w:t xml:space="preserve"> found </w:t>
      </w:r>
      <w:proofErr w:type="spellStart"/>
      <w:r w:rsidR="00C24B32" w:rsidRPr="004A782C">
        <w:rPr>
          <w:rFonts w:eastAsia="Times New Roman"/>
          <w:color w:val="000000" w:themeColor="text1"/>
          <w:lang w:bidi="ne-NP"/>
        </w:rPr>
        <w:t>unfavourable</w:t>
      </w:r>
      <w:proofErr w:type="spellEnd"/>
      <w:r w:rsidR="00C24B32" w:rsidRPr="004A782C">
        <w:rPr>
          <w:rFonts w:eastAsia="Times New Roman"/>
          <w:color w:val="000000" w:themeColor="text1"/>
          <w:lang w:bidi="ne-NP"/>
        </w:rPr>
        <w:t xml:space="preserve"> attitudes towards mental health problems in Hindu</w:t>
      </w:r>
      <w:r w:rsidR="00E34030" w:rsidRPr="004A782C">
        <w:rPr>
          <w:rFonts w:eastAsia="Times New Roman"/>
          <w:color w:val="000000" w:themeColor="text1"/>
          <w:lang w:bidi="ne-NP"/>
        </w:rPr>
        <w:t>s</w:t>
      </w:r>
      <w:r w:rsidR="00C24B32" w:rsidRPr="004A782C">
        <w:rPr>
          <w:rFonts w:eastAsia="Times New Roman"/>
          <w:color w:val="000000" w:themeColor="text1"/>
          <w:lang w:bidi="ne-NP"/>
        </w:rPr>
        <w:t xml:space="preserve"> and others with </w:t>
      </w:r>
      <w:r w:rsidR="00861B61" w:rsidRPr="004A782C">
        <w:rPr>
          <w:rFonts w:eastAsia="Times New Roman"/>
          <w:color w:val="000000" w:themeColor="text1"/>
          <w:lang w:bidi="ne-NP"/>
        </w:rPr>
        <w:t>non-significant differences</w:t>
      </w:r>
      <w:r w:rsidR="00C24B32" w:rsidRPr="004A782C">
        <w:rPr>
          <w:rFonts w:eastAsia="Times New Roman"/>
          <w:color w:val="000000" w:themeColor="text1"/>
          <w:lang w:bidi="ne-NP"/>
        </w:rPr>
        <w:t xml:space="preserve"> in each dimension</w:t>
      </w:r>
      <w:r w:rsidR="00544A83" w:rsidRPr="004A782C">
        <w:rPr>
          <w:rFonts w:eastAsia="Times New Roman"/>
          <w:color w:val="000000" w:themeColor="text1"/>
          <w:lang w:bidi="ne-NP"/>
        </w:rPr>
        <w:t xml:space="preserve">. </w:t>
      </w:r>
      <w:r w:rsidR="00E34030" w:rsidRPr="004A782C">
        <w:rPr>
          <w:rFonts w:eastAsia="Times New Roman"/>
          <w:color w:val="000000" w:themeColor="text1"/>
          <w:lang w:bidi="ne-NP"/>
        </w:rPr>
        <w:t>Nepal et al., (2020) consistently</w:t>
      </w:r>
      <w:r w:rsidR="00C24B32" w:rsidRPr="004A782C">
        <w:rPr>
          <w:color w:val="000000" w:themeColor="text1"/>
        </w:rPr>
        <w:t xml:space="preserve"> found non-significant difference</w:t>
      </w:r>
      <w:r w:rsidR="00E34030" w:rsidRPr="004A782C">
        <w:rPr>
          <w:color w:val="000000" w:themeColor="text1"/>
        </w:rPr>
        <w:t>s</w:t>
      </w:r>
      <w:r w:rsidR="00C24B32" w:rsidRPr="004A782C">
        <w:rPr>
          <w:color w:val="000000" w:themeColor="text1"/>
        </w:rPr>
        <w:t xml:space="preserve"> between Hindu</w:t>
      </w:r>
      <w:r w:rsidR="00E34030" w:rsidRPr="004A782C">
        <w:rPr>
          <w:color w:val="000000" w:themeColor="text1"/>
        </w:rPr>
        <w:t>s</w:t>
      </w:r>
      <w:r w:rsidR="00C24B32" w:rsidRPr="004A782C">
        <w:rPr>
          <w:color w:val="000000" w:themeColor="text1"/>
        </w:rPr>
        <w:t xml:space="preserve"> and others. </w:t>
      </w:r>
    </w:p>
    <w:p w14:paraId="63F970D0" w14:textId="1EB7A1C4" w:rsidR="00544A83" w:rsidRPr="004A782C" w:rsidRDefault="00DE3208" w:rsidP="00B27EBA">
      <w:pPr>
        <w:spacing w:after="0"/>
        <w:ind w:firstLine="720"/>
        <w:contextualSpacing/>
        <w:jc w:val="both"/>
        <w:rPr>
          <w:color w:val="000000" w:themeColor="text1"/>
        </w:rPr>
      </w:pPr>
      <w:r w:rsidRPr="004A782C">
        <w:rPr>
          <w:rFonts w:eastAsia="Times New Roman"/>
          <w:color w:val="000000" w:themeColor="text1"/>
          <w:lang w:bidi="ne-NP"/>
        </w:rPr>
        <w:t>I</w:t>
      </w:r>
      <w:r w:rsidR="001C6759" w:rsidRPr="004A782C">
        <w:rPr>
          <w:rFonts w:eastAsia="Times New Roman"/>
          <w:color w:val="000000" w:themeColor="text1"/>
          <w:lang w:bidi="ne-NP"/>
        </w:rPr>
        <w:t xml:space="preserve"> found </w:t>
      </w:r>
      <w:proofErr w:type="spellStart"/>
      <w:r w:rsidR="001C6759" w:rsidRPr="004A782C">
        <w:rPr>
          <w:rFonts w:eastAsia="Times New Roman"/>
          <w:color w:val="000000" w:themeColor="text1"/>
          <w:lang w:bidi="ne-NP"/>
        </w:rPr>
        <w:t>unfavourable</w:t>
      </w:r>
      <w:proofErr w:type="spellEnd"/>
      <w:r w:rsidR="001C6759" w:rsidRPr="004A782C">
        <w:rPr>
          <w:rFonts w:eastAsia="Times New Roman"/>
          <w:color w:val="000000" w:themeColor="text1"/>
          <w:lang w:bidi="ne-NP"/>
        </w:rPr>
        <w:t xml:space="preserve"> attitudes towards mental health problems in bachelor</w:t>
      </w:r>
      <w:r w:rsidR="00E34030" w:rsidRPr="004A782C">
        <w:rPr>
          <w:rFonts w:eastAsia="Times New Roman"/>
          <w:color w:val="000000" w:themeColor="text1"/>
          <w:lang w:bidi="ne-NP"/>
        </w:rPr>
        <w:t>'</w:t>
      </w:r>
      <w:r w:rsidR="001C6759" w:rsidRPr="004A782C">
        <w:rPr>
          <w:rFonts w:eastAsia="Times New Roman"/>
          <w:color w:val="000000" w:themeColor="text1"/>
          <w:lang w:bidi="ne-NP"/>
        </w:rPr>
        <w:t xml:space="preserve">s </w:t>
      </w:r>
      <w:r w:rsidR="00E34030" w:rsidRPr="004A782C">
        <w:rPr>
          <w:rFonts w:eastAsia="Times New Roman"/>
          <w:color w:val="000000" w:themeColor="text1"/>
          <w:lang w:bidi="ne-NP"/>
        </w:rPr>
        <w:t>and high school degrees</w:t>
      </w:r>
      <w:r w:rsidR="001C6759" w:rsidRPr="004A782C">
        <w:rPr>
          <w:rFonts w:eastAsia="Times New Roman"/>
          <w:color w:val="000000" w:themeColor="text1"/>
          <w:lang w:bidi="ne-NP"/>
        </w:rPr>
        <w:t>. The difference was non-significant</w:t>
      </w:r>
      <w:r w:rsidR="00F61D88" w:rsidRPr="004A782C">
        <w:rPr>
          <w:rFonts w:eastAsia="Times New Roman"/>
          <w:color w:val="000000" w:themeColor="text1"/>
          <w:lang w:bidi="ne-NP"/>
        </w:rPr>
        <w:t xml:space="preserve"> in all dimensions of attitudes towards mental health problems</w:t>
      </w:r>
      <w:r w:rsidR="001C6759" w:rsidRPr="004A782C">
        <w:rPr>
          <w:rFonts w:eastAsia="Times New Roman"/>
          <w:color w:val="000000" w:themeColor="text1"/>
          <w:lang w:bidi="ne-NP"/>
        </w:rPr>
        <w:t>.</w:t>
      </w:r>
      <w:r w:rsidR="009425C7" w:rsidRPr="004A782C">
        <w:rPr>
          <w:rFonts w:eastAsia="Times New Roman"/>
          <w:color w:val="000000" w:themeColor="text1"/>
          <w:lang w:bidi="ne-NP"/>
        </w:rPr>
        <w:t xml:space="preserve"> Similarly,</w:t>
      </w:r>
      <w:r w:rsidR="001C6759" w:rsidRPr="004A782C">
        <w:rPr>
          <w:rFonts w:eastAsia="Times New Roman"/>
          <w:color w:val="000000" w:themeColor="text1"/>
          <w:lang w:bidi="ne-NP"/>
        </w:rPr>
        <w:t xml:space="preserve"> </w:t>
      </w:r>
      <w:r w:rsidR="00544A83" w:rsidRPr="004A782C">
        <w:rPr>
          <w:rFonts w:eastAsia="Times New Roman"/>
          <w:color w:val="000000" w:themeColor="text1"/>
          <w:lang w:bidi="ne-NP"/>
        </w:rPr>
        <w:t>Salve et al. (2013) reported that difference in attitude</w:t>
      </w:r>
      <w:r w:rsidR="007836A6" w:rsidRPr="004A782C">
        <w:rPr>
          <w:rFonts w:eastAsia="Times New Roman"/>
          <w:color w:val="000000" w:themeColor="text1"/>
          <w:lang w:bidi="ne-NP"/>
        </w:rPr>
        <w:t>s</w:t>
      </w:r>
      <w:r w:rsidR="00544A83" w:rsidRPr="004A782C">
        <w:rPr>
          <w:rFonts w:eastAsia="Times New Roman"/>
          <w:color w:val="000000" w:themeColor="text1"/>
          <w:lang w:bidi="ne-NP"/>
        </w:rPr>
        <w:t xml:space="preserve"> towards mental illness across literacy status was found statisti</w:t>
      </w:r>
      <w:r w:rsidR="001C6759" w:rsidRPr="004A782C">
        <w:rPr>
          <w:rFonts w:eastAsia="Times New Roman"/>
          <w:color w:val="000000" w:themeColor="text1"/>
          <w:lang w:bidi="ne-NP"/>
        </w:rPr>
        <w:t>cally non</w:t>
      </w:r>
      <w:r w:rsidR="001C6759" w:rsidRPr="004A782C">
        <w:rPr>
          <w:rFonts w:eastAsia="Times New Roman"/>
          <w:color w:val="000000" w:themeColor="text1"/>
          <w:lang w:bidi="ne-NP"/>
        </w:rPr>
        <w:noBreakHyphen/>
        <w:t>significant</w:t>
      </w:r>
      <w:r w:rsidR="00F61D88" w:rsidRPr="004A782C">
        <w:rPr>
          <w:rFonts w:eastAsia="Times New Roman"/>
          <w:color w:val="000000" w:themeColor="text1"/>
          <w:lang w:bidi="ne-NP"/>
        </w:rPr>
        <w:t>.</w:t>
      </w:r>
      <w:r w:rsidR="002569F5" w:rsidRPr="004A782C">
        <w:rPr>
          <w:rFonts w:eastAsia="Times New Roman"/>
          <w:color w:val="000000" w:themeColor="text1"/>
          <w:lang w:bidi="ne-NP"/>
        </w:rPr>
        <w:t xml:space="preserve"> In line with this finding, </w:t>
      </w:r>
      <w:r w:rsidR="002569F5" w:rsidRPr="004A782C">
        <w:rPr>
          <w:color w:val="000000" w:themeColor="text1"/>
        </w:rPr>
        <w:t>another study found that the Izzat related to mental health problems (A major construct in ATMHP) is non-significantly correlated with the level of education, (</w:t>
      </w:r>
      <w:r w:rsidR="002569F5" w:rsidRPr="004A782C">
        <w:rPr>
          <w:i/>
          <w:iCs/>
          <w:color w:val="000000" w:themeColor="text1"/>
        </w:rPr>
        <w:t>r</w:t>
      </w:r>
      <w:r w:rsidR="002569F5" w:rsidRPr="004A782C">
        <w:rPr>
          <w:color w:val="000000" w:themeColor="text1"/>
        </w:rPr>
        <w:t xml:space="preserve"> = 0.20) </w:t>
      </w:r>
      <w:r w:rsidR="002569F5" w:rsidRPr="004A782C">
        <w:rPr>
          <w:color w:val="000000" w:themeColor="text1"/>
        </w:rPr>
        <w:fldChar w:fldCharType="begin" w:fldLock="1"/>
      </w:r>
      <w:r w:rsidR="0089148D" w:rsidRPr="004A782C">
        <w:rPr>
          <w:color w:val="000000" w:themeColor="text1"/>
        </w:rPr>
        <w:instrText>ADDIN CSL_CITATION {"citationItems":[{"id":"ITEM-1","itemData":{"abstract":"A portfolio submitted in partial fulfilment of the requirements of the University of Hertfordshire for the degree of DClinPsy.","author":[{"dropping-particle":"","family":"Thake","given":"Anna","non-dropping-particle":"","parse-names":false,"suffix":""}],"id":"ITEM-1","issue":"October","issued":{"date-parts":[["2014"]]},"title":"Factors influencing beliefs about mental health difficulties and attitudes towards seeking help amongst Nepalese people in the United Kingdom","type":"article-journal","volume":"1"},"uris":["http://www.mendeley.com/documents/?uuid=022876be-1908-449d-ada2-5262717c8869"]}],"mendeley":{"formattedCitation":"(Thake, 2014)","plainTextFormattedCitation":"(Thake, 2014)","previouslyFormattedCitation":"(Thake, 2014)"},"properties":{"noteIndex":0},"schema":"https://github.com/citation-style-language/schema/raw/master/csl-citation.json"}</w:instrText>
      </w:r>
      <w:r w:rsidR="002569F5" w:rsidRPr="004A782C">
        <w:rPr>
          <w:color w:val="000000" w:themeColor="text1"/>
        </w:rPr>
        <w:fldChar w:fldCharType="separate"/>
      </w:r>
      <w:r w:rsidR="002569F5" w:rsidRPr="004A782C">
        <w:rPr>
          <w:noProof/>
          <w:color w:val="000000" w:themeColor="text1"/>
        </w:rPr>
        <w:t>(Thake, 2014)</w:t>
      </w:r>
      <w:r w:rsidR="002569F5" w:rsidRPr="004A782C">
        <w:rPr>
          <w:color w:val="000000" w:themeColor="text1"/>
        </w:rPr>
        <w:fldChar w:fldCharType="end"/>
      </w:r>
      <w:r w:rsidR="002569F5" w:rsidRPr="004A782C">
        <w:rPr>
          <w:color w:val="000000" w:themeColor="text1"/>
        </w:rPr>
        <w:t>.</w:t>
      </w:r>
      <w:r w:rsidR="004A782C">
        <w:rPr>
          <w:color w:val="000000" w:themeColor="text1"/>
        </w:rPr>
        <w:t xml:space="preserve"> </w:t>
      </w:r>
      <w:r w:rsidR="009425C7" w:rsidRPr="004A782C">
        <w:rPr>
          <w:rFonts w:eastAsia="Times New Roman"/>
          <w:color w:val="000000" w:themeColor="text1"/>
          <w:lang w:bidi="ne-NP"/>
        </w:rPr>
        <w:t>Pokharel &amp; Pokharel (2017) reported that stigma against mental illness exists even among the country's educated population.</w:t>
      </w:r>
      <w:r w:rsidR="00F61D88" w:rsidRPr="004A782C">
        <w:rPr>
          <w:rFonts w:eastAsia="Times New Roman"/>
          <w:color w:val="000000" w:themeColor="text1"/>
          <w:lang w:bidi="ne-NP"/>
        </w:rPr>
        <w:t xml:space="preserve"> </w:t>
      </w:r>
      <w:r w:rsidR="009425C7" w:rsidRPr="004A782C">
        <w:rPr>
          <w:rFonts w:eastAsia="Times New Roman"/>
          <w:color w:val="000000" w:themeColor="text1"/>
          <w:lang w:bidi="ne-NP"/>
        </w:rPr>
        <w:t xml:space="preserve">In contrast, </w:t>
      </w:r>
      <w:r w:rsidR="004B5AFA" w:rsidRPr="004A782C">
        <w:rPr>
          <w:rFonts w:eastAsia="Times New Roman"/>
          <w:color w:val="000000" w:themeColor="text1"/>
          <w:lang w:bidi="ne-NP"/>
        </w:rPr>
        <w:fldChar w:fldCharType="begin" w:fldLock="1"/>
      </w:r>
      <w:r w:rsidR="004B5AFA" w:rsidRPr="004A782C">
        <w:rPr>
          <w:rFonts w:eastAsia="Times New Roman"/>
          <w:color w:val="000000" w:themeColor="text1"/>
          <w:lang w:bidi="ne-NP"/>
        </w:rPr>
        <w:instrText>ADDIN CSL_CITATION {"citationItems":[{"id":"ITEM-1","itemData":{"DOI":"10.1371/journal.pone.0222172","ISSN":"19326203","PMID":"31525219","abstract":"Objectives Patients with mental health disorders often have to endure the burdens of the condition itself and the stigma that follows. Since no study has been conducted in Lebanon on this topic, our objective was to assess the knowledge, attitude and behaviors towards public stigma of mental health diseases, among a sample of the Lebanese population. Methods A cross-sectional study, conducted between November 2017 and May 2018, enrolled 2289 participants. The Mental Health Knowledge Schedule (MAKS), the Community Attitudes toward Mental Illness (CAMI) and the Reported and Intended Behavior Scale (RIBS) were used to assess knowledge, attitude and behaviors toward mental illness respectively. The 25th, 50th and 75th percentile of the MAKS, CAMI and RIBS scales scores were considered as cutoff points for low, medium and high scores respectively. Results A high knowledge score was found in 33.0% of the participants, whereas a high attitude score and a higher behavior score were found in 32.2% and 26.9% of the participants respectively. Living in North Lebanon (Beta = 1.331) and being familiar with a non-close person with mental illness (Beta = 0.811) were associated with higher knowledge of mental illness (higher MAKS score), whereas living in Bekaa (Beta = -8.693) and being 70 years old and above (Beta = -5.060) were associated with lower knowledge toward mental illness (lower MAKS score). Higher knowledge of mental illness (higher MAKS score) (Beta = 0.670), having a high level of education (university (Beta = 8.785), secondary (Beta = 6.084) and technical (Beta = 5.677)) were associated with less stigmatizing attitudes (higher CAMI scale). Being familiar with close people with mental illness (Beta = 0.577), less stigmatizing attitudes (higher CAMI scale) (Beta = 0.077) and higher knowledge of mental illness (higher MAKS score) (Beta = 0.115) were associated with higher favorable behaviors (higher RIBS score), whereas knowing a non-close person who have a mental illness (Beta = -0.720) was associated with lower favorable behaviors (lower RIBS score). Conclusion A mass media awareness campaigns that could transmit health messages to a wide public audience in the country to fight stigma toward mental illness, seems warranted.","author":[{"dropping-particle":"","family":"Doumit","given":"Carla Abi","non-dropping-particle":"","parse-names":false,"suffix":""},{"dropping-particle":"","family":"Haddad","given":"Chadia","non-dropping-particle":"","parse-names":false,"suffix":""},{"dropping-particle":"","family":"Sacre","given":"Hala","non-dropping-particle":"","parse-names":false,"suffix":""},{"dropping-particle":"","family":"Salameh","given":"Pascale","non-dropping-particle":"","parse-names":false,"suffix":""},{"dropping-particle":"","family":"Akel","given":"Marwan","non-dropping-particle":"","parse-names":false,"suffix":""},{"dropping-particle":"","family":"Obeid","given":"Sahar","non-dropping-particle":"","parse-names":false,"suffix":""},{"dropping-particle":"","family":"Akiki","given":"Maria","non-dropping-particle":"","parse-names":false,"suffix":""},{"dropping-particle":"","family":"Mattar","given":"Elie","non-dropping-particle":"","parse-names":false,"suffix":""},{"dropping-particle":"","family":"Hilal","given":"Najla","non-dropping-particle":"","parse-names":false,"suffix":""},{"dropping-particle":"","family":"Hallit","given":"Souheil","non-dropping-particle":"","parse-names":false,"suffix":""},{"dropping-particle":"","family":"Soufia","given":"Michel","non-dropping-particle":"","parse-names":false,"suffix":""}],"container-title":"PLoS ONE","id":"ITEM-1","issued":{"date-parts":[["2019"]]},"title":"Knowledge, attitude and behaviors towards patients with mental illness: Results from a national Lebanese study","type":"article-journal"},"uris":["http://www.mendeley.com/documents/?uuid=2d023183-b533-46ad-a402-770abf1aee6b"]}],"mendeley":{"formattedCitation":"(Doumit et al., 2019)","manualFormatting":"Doumit et al. (2019)","plainTextFormattedCitation":"(Doumit et al., 2019)","previouslyFormattedCitation":"(Doumit et al., 2019)"},"properties":{"noteIndex":0},"schema":"https://github.com/citation-style-language/schema/raw/master/csl-citation.json"}</w:instrText>
      </w:r>
      <w:r w:rsidR="004B5AFA" w:rsidRPr="004A782C">
        <w:rPr>
          <w:rFonts w:eastAsia="Times New Roman"/>
          <w:color w:val="000000" w:themeColor="text1"/>
          <w:lang w:bidi="ne-NP"/>
        </w:rPr>
        <w:fldChar w:fldCharType="separate"/>
      </w:r>
      <w:r w:rsidR="004B5AFA" w:rsidRPr="004A782C">
        <w:rPr>
          <w:rFonts w:eastAsia="Times New Roman"/>
          <w:noProof/>
          <w:color w:val="000000" w:themeColor="text1"/>
          <w:lang w:bidi="ne-NP"/>
        </w:rPr>
        <w:t>Doumit et al. (2019)</w:t>
      </w:r>
      <w:r w:rsidR="004B5AFA" w:rsidRPr="004A782C">
        <w:rPr>
          <w:rFonts w:eastAsia="Times New Roman"/>
          <w:color w:val="000000" w:themeColor="text1"/>
          <w:lang w:bidi="ne-NP"/>
        </w:rPr>
        <w:fldChar w:fldCharType="end"/>
      </w:r>
      <w:r w:rsidR="004B5AFA" w:rsidRPr="004A782C">
        <w:rPr>
          <w:rFonts w:eastAsia="Times New Roman"/>
          <w:color w:val="000000" w:themeColor="text1"/>
          <w:lang w:bidi="ne-NP"/>
        </w:rPr>
        <w:t>.</w:t>
      </w:r>
      <w:r w:rsidR="00544A83" w:rsidRPr="004A782C">
        <w:rPr>
          <w:rFonts w:eastAsia="Times New Roman"/>
          <w:color w:val="000000" w:themeColor="text1"/>
          <w:lang w:bidi="ne-NP"/>
        </w:rPr>
        <w:t xml:space="preserve">found that a high level of education was associated with less </w:t>
      </w:r>
      <w:r w:rsidR="00383A3E" w:rsidRPr="004A782C">
        <w:rPr>
          <w:rFonts w:eastAsia="Times New Roman"/>
          <w:color w:val="000000" w:themeColor="text1"/>
          <w:lang w:bidi="ne-NP"/>
        </w:rPr>
        <w:t>stigmatizing</w:t>
      </w:r>
      <w:r w:rsidR="00544A83" w:rsidRPr="004A782C">
        <w:rPr>
          <w:rFonts w:eastAsia="Times New Roman"/>
          <w:color w:val="000000" w:themeColor="text1"/>
          <w:lang w:bidi="ne-NP"/>
        </w:rPr>
        <w:t xml:space="preserve"> attitudes. Another study found a significant negative correlation between attitude scores and the grade enrolled where the </w:t>
      </w:r>
      <w:r w:rsidR="00E34030" w:rsidRPr="004A782C">
        <w:rPr>
          <w:rFonts w:eastAsia="Times New Roman"/>
          <w:color w:val="000000" w:themeColor="text1"/>
          <w:lang w:bidi="ne-NP"/>
        </w:rPr>
        <w:t>respondents' attitudes improved</w:t>
      </w:r>
      <w:r w:rsidR="00544A83" w:rsidRPr="004A782C">
        <w:rPr>
          <w:rFonts w:eastAsia="Times New Roman"/>
          <w:color w:val="000000" w:themeColor="text1"/>
          <w:lang w:bidi="ne-NP"/>
        </w:rPr>
        <w:t xml:space="preserve"> with their increasi</w:t>
      </w:r>
      <w:r w:rsidR="009425C7" w:rsidRPr="004A782C">
        <w:rPr>
          <w:rFonts w:eastAsia="Times New Roman"/>
          <w:color w:val="000000" w:themeColor="text1"/>
          <w:lang w:bidi="ne-NP"/>
        </w:rPr>
        <w:t>ng grades (Nepal et al., 2020).</w:t>
      </w:r>
      <w:r w:rsidR="00B95C21" w:rsidRPr="004A782C">
        <w:rPr>
          <w:rFonts w:eastAsia="Times New Roman"/>
          <w:color w:val="000000" w:themeColor="text1"/>
          <w:lang w:bidi="ne-NP"/>
        </w:rPr>
        <w:t xml:space="preserve"> However,</w:t>
      </w:r>
      <w:r w:rsidR="004D423D" w:rsidRPr="004A782C">
        <w:rPr>
          <w:rFonts w:eastAsia="Times New Roman"/>
          <w:color w:val="000000" w:themeColor="text1"/>
          <w:lang w:bidi="ne-NP"/>
        </w:rPr>
        <w:t xml:space="preserve"> </w:t>
      </w:r>
      <w:r w:rsidR="004D423D" w:rsidRPr="004A782C">
        <w:rPr>
          <w:color w:val="000000" w:themeColor="text1"/>
        </w:rPr>
        <w:fldChar w:fldCharType="begin" w:fldLock="1"/>
      </w:r>
      <w:r w:rsidR="004D423D" w:rsidRPr="004A782C">
        <w:rPr>
          <w:color w:val="000000" w:themeColor="text1"/>
        </w:rPr>
        <w:instrText>ADDIN CSL_CITATION {"citationItems":[{"id":"ITEM-1","itemData":{"DOI":"10.1186/s12889-018-5516-4","ISSN":"14712458","PMID":"29788998","abstract":"Background: Mental health literacy consists of knowledge of a mental disorder and of the associated stigma. Barriers to depression treatment among Hispanic populations include persistent stigma which is primarily perpetuated by inadequate disease literacy and cultural factors. U.S.-born Hispanics are more likely to have depression compared to Hispanics born in Latin America and are less likely to follow a treatment plan compared to non-Hispanic whites. Hispanic women are more likely to access treatment through a primary care provider, making it an ideal setting for early mental health interventions. Methods: Baseline data from 319 female Hispanic patients enrolled in Project DESEO: Depression Screening and Education: Options to Reduce Barriers to Treatment, were examined. The study implemented universal screening with a self-report depression screening tool (the 9-item Patient Health Questionnaire (PHQ-9) and took place at one federally qualified health center (FQHC) over a 24-month period. The current analysis examined the relationship between four culturally adapted stigma measures and depression knowledge, and tested whether mental health literacy was comparable across education levels in a sample of Hispanic women diagnosed with depression. Results: Almost two-thirds of the sample had less than a high school education. Depression knowledge scores were significantly, weakly correlated with each the Stigma Concerns About Mental Health Care (ρ = -.165, p =.003), Latino Scale for Antidepressant Stigma (p =.124, p =.028), and Social Distance scores (p =.150, p =.007). Depression knowledge (F[2, 312] = 11.82, p &lt;.001, partial η 2 =.071), Social Distance scores (F[2, 312] = 3.34, p =.037, partial η 2 =.021), and antidepressant medication stigma scores (F[2, 312] = 3.33, p =.037, partial η 2 =.015) significantly varied by education category. Participants with at least some college education reported significantly greater depression knowledge and less stigma surrounding depression and medication than participants with lower education levels. Conclusions: Primary care settings are often the gateway to identifying undiagnosed mental health disorders, particularly for Hispanic women with comorbid physical health conditions. This study is unique in that it aims to examine the specific role of patient education level as a predictor of mental health literacy. For Hispanic women, understanding the mental health literacy of patients in a healthcare setting may impro…","author":[{"dropping-particle":"","family":"Lopez","given":"Veronica","non-dropping-particle":"","parse-names":false,"suffix":""},{"dropping-particle":"","family":"Sanchez","given":"Katherine","non-dropping-particle":"","parse-names":false,"suffix":""},{"dropping-particle":"","family":"Killian","given":"Michael O.","non-dropping-particle":"","parse-names":false,"suffix":""},{"dropping-particle":"","family":"Eghaneyan","given":"Brittany H.","non-dropping-particle":"","parse-names":false,"suffix":""}],"container-title":"BMC Public Health","id":"ITEM-1","issue":"1","issued":{"date-parts":[["2018"]]},"page":"1-8","publisher":"BMC Public Health","title":"Depression screening and education: An examination of mental health literacy and stigma in a sample of Hispanic women","type":"article-journal","volume":"18"},"uris":["http://www.mendeley.com/documents/?uuid=807077e8-6de2-4832-9ccc-b551e3b4710e"]}],"mendeley":{"formattedCitation":"(Lopez et al., 2018)","manualFormatting":"Lopez et al. (2018)","plainTextFormattedCitation":"(Lopez et al., 2018)","previouslyFormattedCitation":"(Lopez et al., 2018)"},"properties":{"noteIndex":0},"schema":"https://github.com/citation-style-language/schema/raw/master/csl-citation.json"}</w:instrText>
      </w:r>
      <w:r w:rsidR="004D423D" w:rsidRPr="004A782C">
        <w:rPr>
          <w:color w:val="000000" w:themeColor="text1"/>
        </w:rPr>
        <w:fldChar w:fldCharType="separate"/>
      </w:r>
      <w:r w:rsidR="004D423D" w:rsidRPr="004A782C">
        <w:rPr>
          <w:noProof/>
          <w:color w:val="000000" w:themeColor="text1"/>
        </w:rPr>
        <w:t>Lopez et al. (2018)</w:t>
      </w:r>
      <w:r w:rsidR="004D423D" w:rsidRPr="004A782C">
        <w:rPr>
          <w:color w:val="000000" w:themeColor="text1"/>
        </w:rPr>
        <w:fldChar w:fldCharType="end"/>
      </w:r>
      <w:r w:rsidR="004D423D" w:rsidRPr="004A782C">
        <w:rPr>
          <w:rFonts w:eastAsia="Times New Roman"/>
          <w:color w:val="000000" w:themeColor="text1"/>
          <w:lang w:bidi="ne-NP"/>
        </w:rPr>
        <w:t xml:space="preserve"> reported that </w:t>
      </w:r>
      <w:r w:rsidR="004D423D" w:rsidRPr="004A782C">
        <w:rPr>
          <w:color w:val="000000" w:themeColor="text1"/>
        </w:rPr>
        <w:t>higher education was associated with greater stigma about antidepressant use</w:t>
      </w:r>
      <w:r w:rsidR="004D423D" w:rsidRPr="004A782C">
        <w:rPr>
          <w:rFonts w:eastAsia="Times New Roman"/>
          <w:color w:val="000000" w:themeColor="text1"/>
          <w:lang w:bidi="ne-NP"/>
        </w:rPr>
        <w:t xml:space="preserve">. </w:t>
      </w:r>
    </w:p>
    <w:p w14:paraId="7369C249" w14:textId="2D7E5A3E" w:rsidR="00544A83" w:rsidRPr="004A782C" w:rsidRDefault="007F0E41" w:rsidP="00B27EBA">
      <w:pPr>
        <w:spacing w:after="0"/>
        <w:ind w:firstLine="720"/>
        <w:contextualSpacing/>
        <w:jc w:val="both"/>
        <w:rPr>
          <w:rFonts w:eastAsia="Times New Roman"/>
          <w:color w:val="000000" w:themeColor="text1"/>
          <w:lang w:bidi="ne-NP"/>
        </w:rPr>
      </w:pPr>
      <w:r w:rsidRPr="004A782C">
        <w:rPr>
          <w:rFonts w:eastAsia="Times New Roman"/>
          <w:color w:val="000000" w:themeColor="text1"/>
          <w:lang w:bidi="ne-NP"/>
        </w:rPr>
        <w:t>Attitude scores varied significantly based on caregivers' educational status, with higher education linked to more positive attitudes. This may be due to educated caregivers' increased exposure to mass media and greater awareness of misconceptions about mental illness (Neupane et al., 2016).</w:t>
      </w:r>
      <w:r w:rsidR="004D423D" w:rsidRPr="004A782C">
        <w:rPr>
          <w:color w:val="000000" w:themeColor="text1"/>
        </w:rPr>
        <w:t xml:space="preserve"> </w:t>
      </w:r>
      <w:r w:rsidR="001B56A1" w:rsidRPr="004A782C">
        <w:rPr>
          <w:color w:val="000000" w:themeColor="text1"/>
        </w:rPr>
        <w:fldChar w:fldCharType="begin" w:fldLock="1"/>
      </w:r>
      <w:r w:rsidR="004B5AFA" w:rsidRPr="004A782C">
        <w:rPr>
          <w:color w:val="000000" w:themeColor="text1"/>
        </w:rPr>
        <w:instrText>ADDIN CSL_CITATION {"citationItems":[{"id":"ITEM-1","itemData":{"DOI":"10.4314/rjmhs.v2i3.3","ISSN":"2616-9819","author":[{"dropping-particle":"","family":"Baziga","given":"Vedaste","non-dropping-particle":"","parse-names":false,"suffix":""},{"dropping-particle":"","family":"Gasovya","given":"Augustin","non-dropping-particle":"","parse-names":false,"suffix":""},{"dropping-particle":"","family":"Uwingabire","given":"Fauste","non-dropping-particle":"","parse-names":false,"suffix":""}],"container-title":"Rwanda J Med Health Sci","id":"ITEM-1","issue":"3","issued":{"date-parts":[["2019"]]},"page":"220-229","title":"Community health workers’ attitude towards people with mental illness: potential challenge of maternal mental health services in a selected health centre, Ruhengeri Hospital in Rwanda","type":"article-journal","volume":"2"},"uris":["http://www.mendeley.com/documents/?uuid=b7b2910e-4329-4804-bf2a-c938123b03c1"]}],"mendeley":{"formattedCitation":"(Baziga et al., 2019)","manualFormatting":"Baziga et al. (2019)","plainTextFormattedCitation":"(Baziga et al., 2019)","previouslyFormattedCitation":"(Baziga et al., 2019)"},"properties":{"noteIndex":0},"schema":"https://github.com/citation-style-language/schema/raw/master/csl-citation.json"}</w:instrText>
      </w:r>
      <w:r w:rsidR="001B56A1" w:rsidRPr="004A782C">
        <w:rPr>
          <w:color w:val="000000" w:themeColor="text1"/>
        </w:rPr>
        <w:fldChar w:fldCharType="separate"/>
      </w:r>
      <w:r w:rsidR="004B5AFA" w:rsidRPr="004A782C">
        <w:rPr>
          <w:noProof/>
          <w:color w:val="000000" w:themeColor="text1"/>
        </w:rPr>
        <w:t>Baziga et al.</w:t>
      </w:r>
      <w:r w:rsidR="001B56A1" w:rsidRPr="004A782C">
        <w:rPr>
          <w:noProof/>
          <w:color w:val="000000" w:themeColor="text1"/>
        </w:rPr>
        <w:t xml:space="preserve"> </w:t>
      </w:r>
      <w:r w:rsidR="004B5AFA" w:rsidRPr="004A782C">
        <w:rPr>
          <w:noProof/>
          <w:color w:val="000000" w:themeColor="text1"/>
        </w:rPr>
        <w:t>(</w:t>
      </w:r>
      <w:r w:rsidR="001B56A1" w:rsidRPr="004A782C">
        <w:rPr>
          <w:noProof/>
          <w:color w:val="000000" w:themeColor="text1"/>
        </w:rPr>
        <w:t>2019)</w:t>
      </w:r>
      <w:r w:rsidR="001B56A1" w:rsidRPr="004A782C">
        <w:rPr>
          <w:color w:val="000000" w:themeColor="text1"/>
        </w:rPr>
        <w:fldChar w:fldCharType="end"/>
      </w:r>
      <w:r w:rsidRPr="004A782C">
        <w:rPr>
          <w:color w:val="000000" w:themeColor="text1"/>
        </w:rPr>
        <w:t xml:space="preserve"> found people with lower levels of education and less experience as community health workers displayed higher negative attitudes towards individuals with mental illness compared to those with higher education and more experience. </w:t>
      </w:r>
      <w:r w:rsidRPr="004A782C">
        <w:rPr>
          <w:color w:val="000000" w:themeColor="text1"/>
        </w:rPr>
        <w:fldChar w:fldCharType="begin" w:fldLock="1"/>
      </w:r>
      <w:r w:rsidR="003209B7" w:rsidRPr="004A782C">
        <w:rPr>
          <w:color w:val="000000" w:themeColor="text1"/>
        </w:rPr>
        <w:instrText>ADDIN CSL_CITATION {"citationItems":[{"id":"ITEM-1","itemData":{"DOI":"10.1186/s13033-019-0283-x","ISSN":"17524458","abstract":"Background: Negative attitude and discriminatory behavior of health professionals constitute a major obstacle in psychiatric care and have been pointed out as a key issue in working with mental illness. Understanding about the attitude of nurses is crucial for quality and holistic care of psychiatric services and essential for the successful integration of mental health into primary health care. However, there is a paucity of study to examine the attitude of primary health care nurses towards severe mental disorder in Ethiopia. Therefore, this study aimed to assess the attitude of primary health care nurses and its associated factors towards people with severe mental illness in Addis Ababa. Methods: Institutional based cross-sectional study was conducted among nurses working at primary health care in Addis Ababa from May to June, 2018. Multistage sampling technique was used to select 634 participants. A structured self-administered questionnaire was used. Data were coded and entered into EPIDATA 3.1 and exported to SPSS version 20 for analysis. Bivariate and multivariate binary logistic regression analysis was used to identify factors associated with attitudes of nurses in primary health care. The level of significance was declared at P-value &lt; 0.05 with 95% confidence interval. Results: A total of 610 respondents were included in the study with a response rate of 96.2%. The mean age of participants was 28.6 ± 5.9 (SD) years and the prevalence of negative attitude was 48.2%. Multiple logistic regression models revealed that respondents who have diploma [AOR = 3.09, CI (1.20-7.95)], work experience of &lt; 5 years [AOR = 4.49, CI (2.37-8.49)], respondents who didn't took mh-Gap training [AOR = 4.92, CI (3.05-7.95)] and poor knowledge about mental illness [AOR = 2.84, CI (1.82-4.44) were associated with negative attitude towards people with severe mental illness. Conclusion: Nearly half of the participants have negative attitude towards people with severe mental disorders. Therefore, evidence based and contextualized models are warranted to mitigate negative attitudes of primary health care nurses.","author":[{"dropping-particle":"","family":"Sahile","given":"Yoseph","non-dropping-particle":"","parse-names":false,"suffix":""},{"dropping-particle":"","family":"Yitayih","given":"Sewbesew","non-dropping-particle":"","parse-names":false,"suffix":""},{"dropping-particle":"","family":"Yeshanew","given":"Berhanu","non-dropping-particle":"","parse-names":false,"suffix":""},{"dropping-particle":"","family":"Ayelegne","given":"Daniel","non-dropping-particle":"","parse-names":false,"suffix":""},{"dropping-particle":"","family":"Mihiretu","given":"Awoke","non-dropping-particle":"","parse-names":false,"suffix":""}],"container-title":"Int J Ment Health Syst","id":"ITEM-1","issue":"1","issued":{"date-parts":[["2019"]]},"page":"1-8","publisher":"BioMed Central","title":"Primary health care nurses attitude towards people with severe mental disorders in Addis Ababa, Ethiopia: A cross sectional study","type":"article-journal","volume":"13"},"uris":["http://www.mendeley.com/documents/?uuid=d0a5c097-146d-4a07-a274-b46f70ae3eb5"]}],"mendeley":{"formattedCitation":"(Sahile et al., 2019)","manualFormatting":"Sahile et al. (2019)","plainTextFormattedCitation":"(Sahile et al., 2019)","previouslyFormattedCitation":"(Sahile et al., 2019)"},"properties":{"noteIndex":0},"schema":"https://github.com/citation-style-language/schema/raw/master/csl-citation.json"}</w:instrText>
      </w:r>
      <w:r w:rsidRPr="004A782C">
        <w:rPr>
          <w:color w:val="000000" w:themeColor="text1"/>
        </w:rPr>
        <w:fldChar w:fldCharType="separate"/>
      </w:r>
      <w:r w:rsidRPr="004A782C">
        <w:rPr>
          <w:noProof/>
          <w:color w:val="000000" w:themeColor="text1"/>
        </w:rPr>
        <w:t>Sahile et al. (2019)</w:t>
      </w:r>
      <w:r w:rsidRPr="004A782C">
        <w:rPr>
          <w:color w:val="000000" w:themeColor="text1"/>
        </w:rPr>
        <w:fldChar w:fldCharType="end"/>
      </w:r>
      <w:r w:rsidRPr="004A782C">
        <w:rPr>
          <w:color w:val="000000" w:themeColor="text1"/>
        </w:rPr>
        <w:t xml:space="preserve"> found that nurses with a diploma and less work experience were more likely to have negative attitudes towards individuals with mental illness</w:t>
      </w:r>
      <w:r w:rsidR="004D423D" w:rsidRPr="004A782C">
        <w:rPr>
          <w:color w:val="000000" w:themeColor="text1"/>
        </w:rPr>
        <w:t xml:space="preserve"> than those with </w:t>
      </w:r>
      <w:r w:rsidR="00E34030" w:rsidRPr="004A782C">
        <w:rPr>
          <w:color w:val="000000" w:themeColor="text1"/>
        </w:rPr>
        <w:t xml:space="preserve">an </w:t>
      </w:r>
      <w:r w:rsidR="004D423D" w:rsidRPr="004A782C">
        <w:rPr>
          <w:color w:val="000000" w:themeColor="text1"/>
        </w:rPr>
        <w:t>educational le</w:t>
      </w:r>
      <w:r w:rsidR="002A1049" w:rsidRPr="004A782C">
        <w:rPr>
          <w:color w:val="000000" w:themeColor="text1"/>
        </w:rPr>
        <w:t>vel of MSc. They further reported</w:t>
      </w:r>
      <w:r w:rsidR="004D423D" w:rsidRPr="004A782C">
        <w:rPr>
          <w:color w:val="000000" w:themeColor="text1"/>
        </w:rPr>
        <w:t xml:space="preserve"> that l</w:t>
      </w:r>
      <w:r w:rsidRPr="004A782C">
        <w:rPr>
          <w:color w:val="000000" w:themeColor="text1"/>
        </w:rPr>
        <w:t xml:space="preserve">ack of mental </w:t>
      </w:r>
      <w:r w:rsidR="004D423D" w:rsidRPr="004A782C">
        <w:rPr>
          <w:color w:val="000000" w:themeColor="text1"/>
        </w:rPr>
        <w:t>health training contributes</w:t>
      </w:r>
      <w:r w:rsidRPr="004A782C">
        <w:rPr>
          <w:color w:val="000000" w:themeColor="text1"/>
        </w:rPr>
        <w:t xml:space="preserve"> to negative attitudes among nurses.</w:t>
      </w:r>
      <w:r w:rsidR="004D423D" w:rsidRPr="004A782C">
        <w:rPr>
          <w:color w:val="000000" w:themeColor="text1"/>
        </w:rPr>
        <w:t xml:space="preserve"> </w:t>
      </w:r>
      <w:r w:rsidR="008D0255" w:rsidRPr="004A782C">
        <w:rPr>
          <w:rFonts w:eastAsia="Times New Roman"/>
          <w:color w:val="000000" w:themeColor="text1"/>
          <w:lang w:bidi="ne-NP"/>
        </w:rPr>
        <w:t xml:space="preserve">In consistent with the findings, </w:t>
      </w:r>
      <w:r w:rsidR="001B56A1" w:rsidRPr="004A782C">
        <w:rPr>
          <w:rFonts w:eastAsia="Times New Roman"/>
          <w:color w:val="000000" w:themeColor="text1"/>
          <w:lang w:bidi="ne-NP"/>
        </w:rPr>
        <w:fldChar w:fldCharType="begin" w:fldLock="1"/>
      </w:r>
      <w:r w:rsidR="004B5AFA" w:rsidRPr="004A782C">
        <w:rPr>
          <w:rFonts w:eastAsia="Times New Roman"/>
          <w:color w:val="000000" w:themeColor="text1"/>
          <w:lang w:bidi="ne-NP"/>
        </w:rPr>
        <w:instrText>ADDIN CSL_CITATION {"citationItems":[{"id":"ITEM-1","itemData":{"DOI":"10.1016/j.ajp.2019.08.013","ISSN":"18762026","PMID":"31479944","abstract":"Background: Mental Health problems are one of the leading disabilities worldwide. Individuals seeking help for their mental illness expect nurses to be cognisant of their needs without prejudice and discrimination. Existing evidences suggest a growing number of patient referral from primary healthcare to psychiatric consultations. This study aimed to explore primary healthcare nurses’ knowledge and attitude towards mental illness and people with mentally illness. Methods: A cross-sectional study using the Mental Health Problem Perception and the Community Attitudes to Mental Illness questionnaires. Descriptive and multivariate regression using maximum likelihood procedures were applied. Results: Regression analysis showed significantly high correlation between knowledge and authotarianism (β = 0.775, p = 0.007) and moderate inverse correlation with social restrictiveness (β = −0.517, p &lt; 0.001). However, no significant correlation with benevolence (β = −0.057, p = 0.181) was detected. Nurses with higher educational level were significantly associated with authotarianism attitude. Conclusions: This is the first study examining knowledge and attitude of primary healthcare nurses in Brunei. The relationship between the study variables as well as demographic factors, in comparison to other countries, were discussed. Overall, negative attitude among nurses is still a challenging issue; therefore, developing re-education initiatives and increase contact time, especially for healthcare front liners with negative attitudes regardless of education level, to favour change of attitude, is important to foster holistic care to people with mental illness and promote mental health in the population.","author":[{"dropping-particle":"","family":"Shahif","given":"Syafiqah","non-dropping-particle":"","parse-names":false,"suffix":""},{"dropping-particle":"","family":"Idris","given":"Deeni Rudita","non-dropping-particle":"","parse-names":false,"suffix":""},{"dropping-particle":"","family":"Lupat","given":"Agong","non-dropping-particle":"","parse-names":false,"suffix":""},{"dropping-particle":"","family":"Abdul Rahman","given":"Hanif","non-dropping-particle":"","parse-names":false,"suffix":""}],"container-title":"Asian Journal of Psychiatry","id":"ITEM-1","issue":"April","issued":{"date-parts":[["2019"]]},"page":"33-37","title":"Knowledge and attitude towards mental illness among primary healthcare nurses in Brunei: A cross-sectional study","type":"article-journal","volume":"45"},"uris":["http://www.mendeley.com/documents/?uuid=44d0beae-e446-4c9f-95e7-830dd5c4da15"]}],"mendeley":{"formattedCitation":"(Shahif et al., 2019)","manualFormatting":"Shahif et al. (2019)","plainTextFormattedCitation":"(Shahif et al., 2019)","previouslyFormattedCitation":"(Shahif et al., 2019)"},"properties":{"noteIndex":0},"schema":"https://github.com/citation-style-language/schema/raw/master/csl-citation.json"}</w:instrText>
      </w:r>
      <w:r w:rsidR="001B56A1" w:rsidRPr="004A782C">
        <w:rPr>
          <w:rFonts w:eastAsia="Times New Roman"/>
          <w:color w:val="000000" w:themeColor="text1"/>
          <w:lang w:bidi="ne-NP"/>
        </w:rPr>
        <w:fldChar w:fldCharType="separate"/>
      </w:r>
      <w:r w:rsidR="004B5AFA" w:rsidRPr="004A782C">
        <w:rPr>
          <w:rFonts w:eastAsia="Times New Roman"/>
          <w:noProof/>
          <w:color w:val="000000" w:themeColor="text1"/>
          <w:lang w:bidi="ne-NP"/>
        </w:rPr>
        <w:t>Shahif et al.</w:t>
      </w:r>
      <w:r w:rsidR="001B56A1" w:rsidRPr="004A782C">
        <w:rPr>
          <w:rFonts w:eastAsia="Times New Roman"/>
          <w:noProof/>
          <w:color w:val="000000" w:themeColor="text1"/>
          <w:lang w:bidi="ne-NP"/>
        </w:rPr>
        <w:t xml:space="preserve"> </w:t>
      </w:r>
      <w:r w:rsidR="004B5AFA" w:rsidRPr="004A782C">
        <w:rPr>
          <w:rFonts w:eastAsia="Times New Roman"/>
          <w:noProof/>
          <w:color w:val="000000" w:themeColor="text1"/>
          <w:lang w:bidi="ne-NP"/>
        </w:rPr>
        <w:t>(</w:t>
      </w:r>
      <w:r w:rsidR="001B56A1" w:rsidRPr="004A782C">
        <w:rPr>
          <w:rFonts w:eastAsia="Times New Roman"/>
          <w:noProof/>
          <w:color w:val="000000" w:themeColor="text1"/>
          <w:lang w:bidi="ne-NP"/>
        </w:rPr>
        <w:t>2019)</w:t>
      </w:r>
      <w:r w:rsidR="001B56A1" w:rsidRPr="004A782C">
        <w:rPr>
          <w:rFonts w:eastAsia="Times New Roman"/>
          <w:color w:val="000000" w:themeColor="text1"/>
          <w:lang w:bidi="ne-NP"/>
        </w:rPr>
        <w:fldChar w:fldCharType="end"/>
      </w:r>
      <w:r w:rsidR="008D0255" w:rsidRPr="004A782C">
        <w:rPr>
          <w:rFonts w:eastAsia="Times New Roman"/>
          <w:color w:val="000000" w:themeColor="text1"/>
          <w:lang w:bidi="ne-NP"/>
        </w:rPr>
        <w:t xml:space="preserve"> showed that nurses with higher education level demonstrated higher </w:t>
      </w:r>
      <w:proofErr w:type="spellStart"/>
      <w:r w:rsidR="008D0255" w:rsidRPr="004A782C">
        <w:rPr>
          <w:rFonts w:eastAsia="Times New Roman"/>
          <w:color w:val="000000" w:themeColor="text1"/>
          <w:lang w:bidi="ne-NP"/>
        </w:rPr>
        <w:t>authotarianism</w:t>
      </w:r>
      <w:proofErr w:type="spellEnd"/>
      <w:r w:rsidR="008D0255" w:rsidRPr="004A782C">
        <w:rPr>
          <w:rFonts w:eastAsia="Times New Roman"/>
          <w:color w:val="000000" w:themeColor="text1"/>
          <w:lang w:bidi="ne-NP"/>
        </w:rPr>
        <w:t xml:space="preserve"> attitude – authoritarianism [</w:t>
      </w:r>
      <w:r w:rsidR="008D0255" w:rsidRPr="004A782C">
        <w:rPr>
          <w:rFonts w:eastAsia="Times New Roman"/>
          <w:i/>
          <w:iCs/>
          <w:color w:val="000000" w:themeColor="text1"/>
          <w:lang w:bidi="ne-NP"/>
        </w:rPr>
        <w:t>sic</w:t>
      </w:r>
      <w:r w:rsidR="008D0255" w:rsidRPr="004A782C">
        <w:rPr>
          <w:rFonts w:eastAsia="Times New Roman"/>
          <w:color w:val="000000" w:themeColor="text1"/>
          <w:lang w:bidi="ne-NP"/>
        </w:rPr>
        <w:t>] expresses a view of the mentally ill as a second-class citizen who requires coercion</w:t>
      </w:r>
      <w:r w:rsidR="001B56A1" w:rsidRPr="004A782C">
        <w:rPr>
          <w:rFonts w:eastAsia="Times New Roman"/>
          <w:color w:val="000000" w:themeColor="text1"/>
          <w:lang w:bidi="ne-NP"/>
        </w:rPr>
        <w:t xml:space="preserve"> </w:t>
      </w:r>
      <w:r w:rsidR="001B56A1" w:rsidRPr="004A782C">
        <w:rPr>
          <w:rFonts w:eastAsia="Times New Roman"/>
          <w:color w:val="000000" w:themeColor="text1"/>
          <w:lang w:bidi="ne-NP"/>
        </w:rPr>
        <w:fldChar w:fldCharType="begin" w:fldLock="1"/>
      </w:r>
      <w:r w:rsidR="001B56A1" w:rsidRPr="004A782C">
        <w:rPr>
          <w:rFonts w:eastAsia="Times New Roman"/>
          <w:color w:val="000000" w:themeColor="text1"/>
          <w:lang w:bidi="ne-NP"/>
        </w:rPr>
        <w:instrText>ADDIN CSL_CITATION {"citationItems":[{"id":"ITEM-1","itemData":{"DOI":"10.1093/schbul/7.2.225","ISSN":"05867614","PMID":"7280561","abstract":"The measurement of public attitudes toward the mentally ill has taken on new significance since the introduction of community-based mental health care. Previous attitude scales have been constructed and applied primarily in a professional context. This article discusses the development and application of a new set of four scales explicitly designed to measure community attitudes toward the mentally ill. The scales represent dimensions included in previous instruments, specifically, authoritarianism, benevolence, social restrictiveness, and community mental health ideology, but are expressed in terms of an almost completely new set of items that emphasize community contact with the mentally ill and mental health facilities. Data from a study of community attitudes about neighborhood mental health facilities in Toronto are used to test the internal and external validity of the scales. Results of the analysis provide strong support for the validity of the scales and demonstrate their usefulness as explanatory and predictive variables for studying community response to mental health facilities.","author":[{"dropping-particle":"","family":"Taylor","given":"S. M.","non-dropping-particle":"","parse-names":false,"suffix":""},{"dropping-particle":"","family":"Dear","given":"M. J.","non-dropping-particle":"","parse-names":false,"suffix":""}],"container-title":"Schizophrenia Bulletin","id":"ITEM-1","issue":"2","issued":{"date-parts":[["1981"]]},"page":"225-240","title":"Scaling community attitudes toward the mentally ill","type":"article-journal","volume":"7"},"uris":["http://www.mendeley.com/documents/?uuid=03c5e729-d476-43a9-95b9-25b0e97a4a04"]}],"mendeley":{"formattedCitation":"(Taylor &amp; Dear, 1981)","plainTextFormattedCitation":"(Taylor &amp; Dear, 1981)","previouslyFormattedCitation":"(Taylor &amp; Dear, 1981)"},"properties":{"noteIndex":0},"schema":"https://github.com/citation-style-language/schema/raw/master/csl-citation.json"}</w:instrText>
      </w:r>
      <w:r w:rsidR="001B56A1" w:rsidRPr="004A782C">
        <w:rPr>
          <w:rFonts w:eastAsia="Times New Roman"/>
          <w:color w:val="000000" w:themeColor="text1"/>
          <w:lang w:bidi="ne-NP"/>
        </w:rPr>
        <w:fldChar w:fldCharType="separate"/>
      </w:r>
      <w:r w:rsidR="001B56A1" w:rsidRPr="004A782C">
        <w:rPr>
          <w:rFonts w:eastAsia="Times New Roman"/>
          <w:noProof/>
          <w:color w:val="000000" w:themeColor="text1"/>
          <w:lang w:bidi="ne-NP"/>
        </w:rPr>
        <w:t>(Taylor &amp; Dear, 1981)</w:t>
      </w:r>
      <w:r w:rsidR="001B56A1" w:rsidRPr="004A782C">
        <w:rPr>
          <w:rFonts w:eastAsia="Times New Roman"/>
          <w:color w:val="000000" w:themeColor="text1"/>
          <w:lang w:bidi="ne-NP"/>
        </w:rPr>
        <w:fldChar w:fldCharType="end"/>
      </w:r>
      <w:r w:rsidR="001B56A1" w:rsidRPr="004A782C">
        <w:rPr>
          <w:rFonts w:eastAsia="Times New Roman"/>
          <w:color w:val="000000" w:themeColor="text1"/>
          <w:lang w:bidi="ne-NP"/>
        </w:rPr>
        <w:t>.</w:t>
      </w:r>
    </w:p>
    <w:p w14:paraId="70E92B16" w14:textId="249F5BF3" w:rsidR="008B3515" w:rsidRPr="004A782C" w:rsidRDefault="00DE3208" w:rsidP="00B27EBA">
      <w:pPr>
        <w:spacing w:after="0"/>
        <w:ind w:firstLine="720"/>
        <w:contextualSpacing/>
        <w:jc w:val="both"/>
        <w:rPr>
          <w:color w:val="000000" w:themeColor="text1"/>
        </w:rPr>
      </w:pPr>
      <w:bookmarkStart w:id="35" w:name="_Hlk97636519"/>
      <w:r w:rsidRPr="004A782C">
        <w:rPr>
          <w:color w:val="000000" w:themeColor="text1"/>
        </w:rPr>
        <w:t>I</w:t>
      </w:r>
      <w:r w:rsidR="0092474A" w:rsidRPr="004A782C">
        <w:rPr>
          <w:color w:val="000000" w:themeColor="text1"/>
        </w:rPr>
        <w:t xml:space="preserve"> found statistically non-significant </w:t>
      </w:r>
      <w:proofErr w:type="spellStart"/>
      <w:r w:rsidR="0092474A" w:rsidRPr="004A782C">
        <w:rPr>
          <w:color w:val="000000" w:themeColor="text1"/>
        </w:rPr>
        <w:t>unfavourable</w:t>
      </w:r>
      <w:proofErr w:type="spellEnd"/>
      <w:r w:rsidR="0092474A" w:rsidRPr="004A782C">
        <w:rPr>
          <w:color w:val="000000" w:themeColor="text1"/>
        </w:rPr>
        <w:t xml:space="preserve"> attitudes towards mental health problems in </w:t>
      </w:r>
      <w:r w:rsidR="00595CC5" w:rsidRPr="004A782C">
        <w:rPr>
          <w:color w:val="000000" w:themeColor="text1"/>
        </w:rPr>
        <w:t>both first two years and the last two years</w:t>
      </w:r>
      <w:r w:rsidR="0092474A" w:rsidRPr="004A782C">
        <w:rPr>
          <w:color w:val="000000" w:themeColor="text1"/>
        </w:rPr>
        <w:t>.</w:t>
      </w:r>
      <w:r w:rsidR="00AE55C4" w:rsidRPr="004A782C">
        <w:rPr>
          <w:color w:val="000000" w:themeColor="text1"/>
        </w:rPr>
        <w:t xml:space="preserve"> Consistently,</w:t>
      </w:r>
      <w:r w:rsidR="0092474A" w:rsidRPr="004A782C">
        <w:rPr>
          <w:color w:val="000000" w:themeColor="text1"/>
        </w:rPr>
        <w:t xml:space="preserve"> </w:t>
      </w:r>
      <w:r w:rsidR="0092474A" w:rsidRPr="004A782C">
        <w:rPr>
          <w:color w:val="000000" w:themeColor="text1"/>
        </w:rPr>
        <w:fldChar w:fldCharType="begin" w:fldLock="1"/>
      </w:r>
      <w:r w:rsidR="00927517" w:rsidRPr="004A782C">
        <w:rPr>
          <w:color w:val="000000" w:themeColor="text1"/>
        </w:rPr>
        <w:instrText>ADDIN CSL_CITATION {"citationItems":[{"id":"ITEM-1","itemData":{"author":[{"dropping-particle":"","family":"Pokharel","given":"B","non-dropping-particle":"","parse-names":false,"suffix":""},{"dropping-particle":"","family":"Pokharel","given":"A","non-dropping-particle":"","parse-names":false,"suffix":""}],"container-title":"Birat Journal of Health Sciences","id":"ITEM-1","issue":"3","issued":{"date-parts":[["2017"]]},"page":"292-295","title":"Perceived stigma towards mental illness among college students of western Nepal.","type":"article-journal","volume":"2"},"uris":["http://www.mendeley.com/documents/?uuid=28cd9540-b761-4aeb-ac7d-c2bb9d950d53"]}],"mendeley":{"formattedCitation":"(Pokharel &amp; Pokharel, 2017)","manualFormatting":"Pokharel and Pokharel (2017)","plainTextFormattedCitation":"(Pokharel &amp; Pokharel, 2017)","previouslyFormattedCitation":"(Pokharel &amp; Pokharel, 2017)"},"properties":{"noteIndex":0},"schema":"https://github.com/citation-style-language/schema/raw/master/csl-citation.json"}</w:instrText>
      </w:r>
      <w:r w:rsidR="0092474A" w:rsidRPr="004A782C">
        <w:rPr>
          <w:color w:val="000000" w:themeColor="text1"/>
        </w:rPr>
        <w:fldChar w:fldCharType="separate"/>
      </w:r>
      <w:r w:rsidR="0092474A" w:rsidRPr="004A782C">
        <w:rPr>
          <w:noProof/>
          <w:color w:val="000000" w:themeColor="text1"/>
        </w:rPr>
        <w:t>Pokharel and Pokharel (2017)</w:t>
      </w:r>
      <w:r w:rsidR="0092474A" w:rsidRPr="004A782C">
        <w:rPr>
          <w:color w:val="000000" w:themeColor="text1"/>
        </w:rPr>
        <w:fldChar w:fldCharType="end"/>
      </w:r>
      <w:r w:rsidR="0092474A" w:rsidRPr="004A782C">
        <w:rPr>
          <w:color w:val="000000" w:themeColor="text1"/>
        </w:rPr>
        <w:t xml:space="preserve"> also found non-significant relationship between the year of bachelor</w:t>
      </w:r>
      <w:r w:rsidR="00E34030" w:rsidRPr="004A782C">
        <w:rPr>
          <w:color w:val="000000" w:themeColor="text1"/>
        </w:rPr>
        <w:t>'</w:t>
      </w:r>
      <w:r w:rsidR="0092474A" w:rsidRPr="004A782C">
        <w:rPr>
          <w:color w:val="000000" w:themeColor="text1"/>
        </w:rPr>
        <w:t>s study and the level of stigma in college students.</w:t>
      </w:r>
      <w:r w:rsidR="00735CA3" w:rsidRPr="004A782C">
        <w:rPr>
          <w:color w:val="000000" w:themeColor="text1"/>
        </w:rPr>
        <w:t xml:space="preserve"> </w:t>
      </w:r>
    </w:p>
    <w:p w14:paraId="3C26E13B" w14:textId="77777777" w:rsidR="0044102F" w:rsidRPr="004A782C" w:rsidRDefault="00363270" w:rsidP="00B27EBA">
      <w:pPr>
        <w:spacing w:after="0"/>
        <w:ind w:firstLine="720"/>
        <w:contextualSpacing/>
        <w:jc w:val="both"/>
        <w:rPr>
          <w:color w:val="000000" w:themeColor="text1"/>
        </w:rPr>
      </w:pPr>
      <w:r w:rsidRPr="004A782C">
        <w:rPr>
          <w:color w:val="000000" w:themeColor="text1"/>
        </w:rPr>
        <w:t>In a study with medical students</w:t>
      </w:r>
      <w:r w:rsidR="0044102F" w:rsidRPr="004A782C">
        <w:rPr>
          <w:color w:val="000000" w:themeColor="text1"/>
        </w:rPr>
        <w:t>, the authors found</w:t>
      </w:r>
      <w:r w:rsidRPr="004A782C">
        <w:rPr>
          <w:color w:val="000000" w:themeColor="text1"/>
        </w:rPr>
        <w:t xml:space="preserve"> conflicting result</w:t>
      </w:r>
      <w:r w:rsidR="0044102F" w:rsidRPr="004A782C">
        <w:rPr>
          <w:color w:val="000000" w:themeColor="text1"/>
        </w:rPr>
        <w:t>s</w:t>
      </w:r>
      <w:r w:rsidRPr="004A782C">
        <w:rPr>
          <w:color w:val="000000" w:themeColor="text1"/>
        </w:rPr>
        <w:t xml:space="preserve"> in </w:t>
      </w:r>
      <w:r w:rsidR="00015A3D" w:rsidRPr="004A782C">
        <w:rPr>
          <w:color w:val="000000" w:themeColor="text1"/>
        </w:rPr>
        <w:t>first-</w:t>
      </w:r>
      <w:r w:rsidRPr="004A782C">
        <w:rPr>
          <w:color w:val="000000" w:themeColor="text1"/>
        </w:rPr>
        <w:t xml:space="preserve">semester students and </w:t>
      </w:r>
      <w:r w:rsidR="00015A3D" w:rsidRPr="004A782C">
        <w:rPr>
          <w:color w:val="000000" w:themeColor="text1"/>
        </w:rPr>
        <w:t xml:space="preserve">nine-semester students. </w:t>
      </w:r>
      <w:bookmarkStart w:id="36" w:name="_Toc128114201"/>
      <w:bookmarkEnd w:id="35"/>
      <w:r w:rsidR="00684CF8" w:rsidRPr="004A782C">
        <w:rPr>
          <w:color w:val="000000" w:themeColor="text1"/>
        </w:rPr>
        <w:t xml:space="preserve">They reported that </w:t>
      </w:r>
      <w:r w:rsidR="0044102F" w:rsidRPr="004A782C">
        <w:rPr>
          <w:color w:val="000000" w:themeColor="text1"/>
        </w:rPr>
        <w:t xml:space="preserve">first-semester students held more favorable attitudes towards excluding individuals with mental illness from responsible jobs and believing in a purely genetic origin of mental illnesses. In contrast, ninth-semester students </w:t>
      </w:r>
      <w:r w:rsidR="0044102F" w:rsidRPr="004A782C">
        <w:rPr>
          <w:color w:val="000000" w:themeColor="text1"/>
        </w:rPr>
        <w:lastRenderedPageBreak/>
        <w:t>expressed more favorable attitudes towards the idea that psychiatric hospitals resembled prisons and that psychiatrists were not equal to other doctors (</w:t>
      </w:r>
      <w:r w:rsidR="0044102F" w:rsidRPr="004A782C">
        <w:rPr>
          <w:color w:val="000000" w:themeColor="text1"/>
        </w:rPr>
        <w:fldChar w:fldCharType="begin" w:fldLock="1"/>
      </w:r>
      <w:r w:rsidR="0044102F" w:rsidRPr="004A782C">
        <w:rPr>
          <w:color w:val="000000" w:themeColor="text1"/>
        </w:rPr>
        <w:instrText>ADDIN CSL_CITATION {"citationItems":[{"id":"ITEM-1","itemData":{"DOI":"10.31729/jnma.703","ISBN":"9849550155","ISSN":"00282715","PMID":"24362654","abstract":"Introduction: Medical students tend to have a neutral or negative attitude to Psychiatry as a discipline. This study was initiated to explore the attitude towards mental illness and Psychiatry among the medical students and interns in Kathmandu University School of Medical Sciences. Methods: A cross-sectional questionnaire based studywas conducted among the medical students and interns at Dhulikhel Hospital.Two self-rating scales; Attitudes towards Psychiatry-30 and Attitudes to Mental Illnesswere used to assess attitudes towards mental illness and Psychiatryamong the total 159 subjects. Descriptive statistics and independent sample t-test were applied using SPSS 16 for analysis. Results: Among the total 159 subjects, 44 (27.7%) were interns. Comparison of means of each item in Attitudes towards Psychiatry-30 and Attitudes to Mental Illnesswas done between males and females, medical students and interns, first semester and ninth semester students. Most of the subjects showed neutral attitude towards all the scoring items; though there were a few significant differences in mean scores of some items in group wise comparison. Conclusions: Overall attitudes towards mental illness and psychiatry among the medical students and interns in our medical school were positive or neutral. A further study with medical students from differentinstitutionsis needed to get a detail nationwide picture.","author":[{"dropping-particle":"","family":"Risal","given":"Ajay","non-dropping-particle":"","parse-names":false,"suffix":""},{"dropping-particle":"","family":"Sharma","given":"Pushpa Prasad","non-dropping-particle":"","parse-names":false,"suffix":""},{"dropping-particle":"","family":"Sanjel","given":"Seshananda","non-dropping-particle":"","parse-names":false,"suffix":""}],"container-title":"Journal of the Nepal Medical Association","id":"ITEM-1","issue":"6","issued":{"date-parts":[["2013"]]},"page":"322-331","title":"Attitude toward mental illness and psychiatry among the medical students and interns in a medical college","type":"article-journal","volume":"52"},"uris":["http://www.mendeley.com/documents/?uuid=dc3301e0-9e11-4f35-a931-65bf3e02e5c1"]}],"mendeley":{"formattedCitation":"(Risal et al., 2013)","manualFormatting":"Risal et al., 2013)","plainTextFormattedCitation":"(Risal et al., 2013)","previouslyFormattedCitation":"(Risal et al., 2013)"},"properties":{"noteIndex":0},"schema":"https://github.com/citation-style-language/schema/raw/master/csl-citation.json"}</w:instrText>
      </w:r>
      <w:r w:rsidR="0044102F" w:rsidRPr="004A782C">
        <w:rPr>
          <w:color w:val="000000" w:themeColor="text1"/>
        </w:rPr>
        <w:fldChar w:fldCharType="separate"/>
      </w:r>
      <w:r w:rsidR="0044102F" w:rsidRPr="004A782C">
        <w:rPr>
          <w:noProof/>
          <w:color w:val="000000" w:themeColor="text1"/>
        </w:rPr>
        <w:t>Risal et al., 2013)</w:t>
      </w:r>
      <w:r w:rsidR="0044102F" w:rsidRPr="004A782C">
        <w:rPr>
          <w:color w:val="000000" w:themeColor="text1"/>
        </w:rPr>
        <w:fldChar w:fldCharType="end"/>
      </w:r>
      <w:r w:rsidR="0044102F" w:rsidRPr="004A782C">
        <w:rPr>
          <w:color w:val="000000" w:themeColor="text1"/>
        </w:rPr>
        <w:t>.</w:t>
      </w:r>
    </w:p>
    <w:bookmarkEnd w:id="36"/>
    <w:p w14:paraId="29042CED" w14:textId="67F3AD16" w:rsidR="00544A83" w:rsidRPr="004A782C" w:rsidRDefault="001B56A1" w:rsidP="00B27EBA">
      <w:pPr>
        <w:tabs>
          <w:tab w:val="left" w:pos="5490"/>
        </w:tabs>
        <w:spacing w:after="0"/>
        <w:ind w:firstLine="720"/>
        <w:contextualSpacing/>
        <w:jc w:val="both"/>
        <w:rPr>
          <w:rFonts w:eastAsia="Times New Roman"/>
          <w:color w:val="000000" w:themeColor="text1"/>
          <w:lang w:bidi="ne-NP"/>
        </w:rPr>
      </w:pPr>
      <w:r w:rsidRPr="004A782C">
        <w:rPr>
          <w:rFonts w:eastAsia="Times New Roman"/>
          <w:color w:val="000000" w:themeColor="text1"/>
          <w:lang w:bidi="ne-NP"/>
        </w:rPr>
        <w:fldChar w:fldCharType="begin" w:fldLock="1"/>
      </w:r>
      <w:r w:rsidR="004B5AFA" w:rsidRPr="004A782C">
        <w:rPr>
          <w:rFonts w:eastAsia="Times New Roman"/>
          <w:color w:val="000000" w:themeColor="text1"/>
          <w:lang w:bidi="ne-NP"/>
        </w:rPr>
        <w:instrText>ADDIN CSL_CITATION {"citationItems":[{"id":"ITEM-1","itemData":{"DOI":"10.31729/jnma.3716","ISSN":"00282715","PMID":"31065117","abstract":"Introduction: Mental health and physical health are interconnected. Attitude of medical professionals towards mentally ill affects the quality of care the patient receives. Today’s medical students are tomorrow’s medical practitioner. We conducted a study in a teaching hospital to assess the attitude towards mental illness among medical students and interns. Methods: A descriptive cross sectional study was performed in 265 students in Kathmandu Medical College in August, 2017. Opinion about Mental Illness (OMI) questionnaire developed by Cohen and Struening was used. Results: Of the total participants, 132 (49.8%) were male and 133 (50.2%) were female. Medical students were more authoritarian, more benevolent and believed that mental illness is like any other medical illness. They showed neutral attitude in terms of social restriction of mentally ill and interpersonal relationship as a cause of mental illness. Conclusions: Positive attitude was seen only in terms of benevolence and mental hygiene ideology. Effective teaching and training programs is necessary to bring in positive attitude change towards mentally ill among medical students.","author":[{"dropping-particle":"","family":"Prasai","given":"Astha","non-dropping-particle":"","parse-names":false,"suffix":""},{"dropping-particle":"","family":"Sharma","given":"Shubash Chandra","non-dropping-particle":"","parse-names":false,"suffix":""},{"dropping-particle":"","family":"Rijal","given":"Rika","non-dropping-particle":"","parse-names":false,"suffix":""},{"dropping-particle":"","family":"Shreeyanta","given":"K. C.","non-dropping-particle":"","parse-names":false,"suffix":""}],"container-title":"Journal of the Nepal Medical Association","id":"ITEM-1","issue":"213","issued":{"date-parts":[["2018"]]},"page":"837-841","title":"Attitude towards mental illness among medical students and interns of a medical college","type":"article-journal","volume":"56"},"uris":["http://www.mendeley.com/documents/?uuid=9f3a77af-1d7a-4798-a20b-e3250dfed466"]}],"mendeley":{"formattedCitation":"(Prasai et al., 2018)","manualFormatting":"Prasai et al. (2018)","plainTextFormattedCitation":"(Prasai et al., 2018)","previouslyFormattedCitation":"(Prasai et al., 2018)"},"properties":{"noteIndex":0},"schema":"https://github.com/citation-style-language/schema/raw/master/csl-citation.json"}</w:instrText>
      </w:r>
      <w:r w:rsidRPr="004A782C">
        <w:rPr>
          <w:rFonts w:eastAsia="Times New Roman"/>
          <w:color w:val="000000" w:themeColor="text1"/>
          <w:lang w:bidi="ne-NP"/>
        </w:rPr>
        <w:fldChar w:fldCharType="separate"/>
      </w:r>
      <w:r w:rsidR="004B5AFA" w:rsidRPr="004A782C">
        <w:rPr>
          <w:rFonts w:eastAsia="Times New Roman"/>
          <w:noProof/>
          <w:color w:val="000000" w:themeColor="text1"/>
          <w:lang w:bidi="ne-NP"/>
        </w:rPr>
        <w:t>Prasai et al.</w:t>
      </w:r>
      <w:r w:rsidRPr="004A782C">
        <w:rPr>
          <w:rFonts w:eastAsia="Times New Roman"/>
          <w:noProof/>
          <w:color w:val="000000" w:themeColor="text1"/>
          <w:lang w:bidi="ne-NP"/>
        </w:rPr>
        <w:t xml:space="preserve"> </w:t>
      </w:r>
      <w:r w:rsidR="004B5AFA" w:rsidRPr="004A782C">
        <w:rPr>
          <w:rFonts w:eastAsia="Times New Roman"/>
          <w:noProof/>
          <w:color w:val="000000" w:themeColor="text1"/>
          <w:lang w:bidi="ne-NP"/>
        </w:rPr>
        <w:t>(</w:t>
      </w:r>
      <w:r w:rsidRPr="004A782C">
        <w:rPr>
          <w:rFonts w:eastAsia="Times New Roman"/>
          <w:noProof/>
          <w:color w:val="000000" w:themeColor="text1"/>
          <w:lang w:bidi="ne-NP"/>
        </w:rPr>
        <w:t>2018)</w:t>
      </w:r>
      <w:r w:rsidRPr="004A782C">
        <w:rPr>
          <w:rFonts w:eastAsia="Times New Roman"/>
          <w:color w:val="000000" w:themeColor="text1"/>
          <w:lang w:bidi="ne-NP"/>
        </w:rPr>
        <w:fldChar w:fldCharType="end"/>
      </w:r>
      <w:r w:rsidR="004E67D1" w:rsidRPr="004A782C">
        <w:rPr>
          <w:rFonts w:eastAsia="Times New Roman"/>
          <w:color w:val="000000" w:themeColor="text1"/>
          <w:lang w:bidi="ne-NP"/>
        </w:rPr>
        <w:t xml:space="preserve"> reported that m</w:t>
      </w:r>
      <w:r w:rsidR="00544A83" w:rsidRPr="004A782C">
        <w:rPr>
          <w:rFonts w:eastAsia="Times New Roman"/>
          <w:color w:val="000000" w:themeColor="text1"/>
          <w:lang w:bidi="ne-NP"/>
        </w:rPr>
        <w:t xml:space="preserve">edical students </w:t>
      </w:r>
      <w:r w:rsidR="004E67D1" w:rsidRPr="004A782C">
        <w:rPr>
          <w:rFonts w:eastAsia="Times New Roman"/>
          <w:color w:val="000000" w:themeColor="text1"/>
          <w:lang w:bidi="ne-NP"/>
        </w:rPr>
        <w:t xml:space="preserve">had </w:t>
      </w:r>
      <w:r w:rsidR="00E34030" w:rsidRPr="004A782C">
        <w:rPr>
          <w:rFonts w:eastAsia="Times New Roman"/>
          <w:color w:val="000000" w:themeColor="text1"/>
          <w:lang w:bidi="ne-NP"/>
        </w:rPr>
        <w:t xml:space="preserve">a </w:t>
      </w:r>
      <w:r w:rsidR="00544A83" w:rsidRPr="004A782C">
        <w:rPr>
          <w:rFonts w:eastAsia="Times New Roman"/>
          <w:color w:val="000000" w:themeColor="text1"/>
          <w:lang w:bidi="ne-NP"/>
        </w:rPr>
        <w:t>neutral attitude towards social restriction of mental illness and interpersonal relationship</w:t>
      </w:r>
      <w:r w:rsidR="00E34030" w:rsidRPr="004A782C">
        <w:rPr>
          <w:rFonts w:eastAsia="Times New Roman"/>
          <w:color w:val="000000" w:themeColor="text1"/>
          <w:lang w:bidi="ne-NP"/>
        </w:rPr>
        <w:t>s</w:t>
      </w:r>
      <w:r w:rsidR="00544A83" w:rsidRPr="004A782C">
        <w:rPr>
          <w:rFonts w:eastAsia="Times New Roman"/>
          <w:color w:val="000000" w:themeColor="text1"/>
          <w:lang w:bidi="ne-NP"/>
        </w:rPr>
        <w:t xml:space="preserve"> as a reason of mental illness</w:t>
      </w:r>
      <w:r w:rsidR="004E67D1" w:rsidRPr="004A782C">
        <w:rPr>
          <w:rFonts w:eastAsia="Times New Roman"/>
          <w:color w:val="000000" w:themeColor="text1"/>
          <w:lang w:bidi="ne-NP"/>
        </w:rPr>
        <w:t xml:space="preserve"> – </w:t>
      </w:r>
      <w:r w:rsidR="004E67D1" w:rsidRPr="004A782C">
        <w:rPr>
          <w:color w:val="000000" w:themeColor="text1"/>
        </w:rPr>
        <w:t>social restrictiveness means viewing the mentally ill as a menace to society</w:t>
      </w:r>
      <w:r w:rsidR="00947210" w:rsidRPr="004A782C">
        <w:rPr>
          <w:color w:val="000000" w:themeColor="text1"/>
        </w:rPr>
        <w:t xml:space="preserve"> </w:t>
      </w:r>
      <w:r w:rsidR="00947210" w:rsidRPr="004A782C">
        <w:rPr>
          <w:color w:val="000000" w:themeColor="text1"/>
        </w:rPr>
        <w:fldChar w:fldCharType="begin" w:fldLock="1"/>
      </w:r>
      <w:r w:rsidR="0065020F" w:rsidRPr="004A782C">
        <w:rPr>
          <w:color w:val="000000" w:themeColor="text1"/>
        </w:rPr>
        <w:instrText>ADDIN CSL_CITATION {"citationItems":[{"id":"ITEM-1","itemData":{"DOI":"10.1093/schbul/7.2.225","ISSN":"05867614","PMID":"7280561","abstract":"The measurement of public attitudes toward the mentally ill has taken on new significance since the introduction of community-based mental health care. Previous attitude scales have been constructed and applied primarily in a professional context. This article discusses the development and application of a new set of four scales explicitly designed to measure community attitudes toward the mentally ill. The scales represent dimensions included in previous instruments, specifically, authoritarianism, benevolence, social restrictiveness, and community mental health ideology, but are expressed in terms of an almost completely new set of items that emphasize community contact with the mentally ill and mental health facilities. Data from a study of community attitudes about neighborhood mental health facilities in Toronto are used to test the internal and external validity of the scales. Results of the analysis provide strong support for the validity of the scales and demonstrate their usefulness as explanatory and predictive variables for studying community response to mental health facilities.","author":[{"dropping-particle":"","family":"Taylor","given":"S. M.","non-dropping-particle":"","parse-names":false,"suffix":""},{"dropping-particle":"","family":"Dear","given":"M. J.","non-dropping-particle":"","parse-names":false,"suffix":""}],"container-title":"Schizophrenia Bulletin","id":"ITEM-1","issue":"2","issued":{"date-parts":[["1981"]]},"page":"225-240","title":"Scaling community attitudes toward the mentally ill","type":"article-journal","volume":"7"},"uris":["http://www.mendeley.com/documents/?uuid=03c5e729-d476-43a9-95b9-25b0e97a4a04"]}],"mendeley":{"formattedCitation":"(Taylor &amp; Dear, 1981)","plainTextFormattedCitation":"(Taylor &amp; Dear, 1981)","previouslyFormattedCitation":"(Taylor &amp; Dear, 1981)"},"properties":{"noteIndex":0},"schema":"https://github.com/citation-style-language/schema/raw/master/csl-citation.json"}</w:instrText>
      </w:r>
      <w:r w:rsidR="00947210" w:rsidRPr="004A782C">
        <w:rPr>
          <w:color w:val="000000" w:themeColor="text1"/>
        </w:rPr>
        <w:fldChar w:fldCharType="separate"/>
      </w:r>
      <w:r w:rsidR="00947210" w:rsidRPr="004A782C">
        <w:rPr>
          <w:noProof/>
          <w:color w:val="000000" w:themeColor="text1"/>
        </w:rPr>
        <w:t>(Taylor &amp; Dear, 1981)</w:t>
      </w:r>
      <w:r w:rsidR="00947210" w:rsidRPr="004A782C">
        <w:rPr>
          <w:color w:val="000000" w:themeColor="text1"/>
        </w:rPr>
        <w:fldChar w:fldCharType="end"/>
      </w:r>
      <w:r w:rsidR="000D465E" w:rsidRPr="004A782C">
        <w:rPr>
          <w:rFonts w:eastAsia="Times New Roman"/>
          <w:color w:val="000000" w:themeColor="text1"/>
          <w:lang w:bidi="ne-NP"/>
        </w:rPr>
        <w:t xml:space="preserve">. </w:t>
      </w:r>
      <w:r w:rsidR="00E34030" w:rsidRPr="004A782C">
        <w:rPr>
          <w:rFonts w:eastAsia="Times New Roman"/>
          <w:color w:val="000000" w:themeColor="text1"/>
          <w:lang w:bidi="ne-NP"/>
        </w:rPr>
        <w:t>Medical students and interns at the medical school generally</w:t>
      </w:r>
      <w:r w:rsidR="00544A83" w:rsidRPr="004A782C">
        <w:rPr>
          <w:rFonts w:eastAsia="Times New Roman"/>
          <w:color w:val="000000" w:themeColor="text1"/>
          <w:lang w:bidi="ne-NP"/>
        </w:rPr>
        <w:t xml:space="preserve"> had </w:t>
      </w:r>
      <w:r w:rsidR="00E34030" w:rsidRPr="004A782C">
        <w:rPr>
          <w:rFonts w:eastAsia="Times New Roman"/>
          <w:color w:val="000000" w:themeColor="text1"/>
          <w:lang w:bidi="ne-NP"/>
        </w:rPr>
        <w:t>positive</w:t>
      </w:r>
      <w:r w:rsidR="00544A83" w:rsidRPr="004A782C">
        <w:rPr>
          <w:rFonts w:eastAsia="Times New Roman"/>
          <w:color w:val="000000" w:themeColor="text1"/>
          <w:lang w:bidi="ne-NP"/>
        </w:rPr>
        <w:t xml:space="preserve"> or neutral attitudes toward mental disease and psychiatry</w:t>
      </w:r>
      <w:r w:rsidRPr="004A782C">
        <w:rPr>
          <w:rFonts w:eastAsia="Times New Roman"/>
          <w:color w:val="000000" w:themeColor="text1"/>
          <w:lang w:bidi="ne-NP"/>
        </w:rPr>
        <w:t xml:space="preserve"> </w:t>
      </w:r>
      <w:r w:rsidRPr="004A782C">
        <w:rPr>
          <w:rFonts w:eastAsia="Times New Roman"/>
          <w:color w:val="000000" w:themeColor="text1"/>
          <w:lang w:bidi="ne-NP"/>
        </w:rPr>
        <w:fldChar w:fldCharType="begin" w:fldLock="1"/>
      </w:r>
      <w:r w:rsidRPr="004A782C">
        <w:rPr>
          <w:rFonts w:eastAsia="Times New Roman"/>
          <w:color w:val="000000" w:themeColor="text1"/>
          <w:lang w:bidi="ne-NP"/>
        </w:rPr>
        <w:instrText>ADDIN CSL_CITATION {"citationItems":[{"id":"ITEM-1","itemData":{"DOI":"10.31729/jnma.703","ISBN":"9849550155","ISSN":"00282715","PMID":"24362654","abstract":"Introduction: Medical students tend to have a neutral or negative attitude to Psychiatry as a discipline. This study was initiated to explore the attitude towards mental illness and Psychiatry among the medical students and interns in Kathmandu University School of Medical Sciences. Methods: A cross-sectional questionnaire based studywas conducted among the medical students and interns at Dhulikhel Hospital.Two self-rating scales; Attitudes towards Psychiatry-30 and Attitudes to Mental Illnesswere used to assess attitudes towards mental illness and Psychiatryamong the total 159 subjects. Descriptive statistics and independent sample t-test were applied using SPSS 16 for analysis. Results: Among the total 159 subjects, 44 (27.7%) were interns. Comparison of means of each item in Attitudes towards Psychiatry-30 and Attitudes to Mental Illnesswas done between males and females, medical students and interns, first semester and ninth semester students. Most of the subjects showed neutral attitude towards all the scoring items; though there were a few significant differences in mean scores of some items in group wise comparison. Conclusions: Overall attitudes towards mental illness and psychiatry among the medical students and interns in our medical school were positive or neutral. A further study with medical students from differentinstitutionsis needed to get a detail nationwide picture.","author":[{"dropping-particle":"","family":"Risal","given":"Ajay","non-dropping-particle":"","parse-names":false,"suffix":""},{"dropping-particle":"","family":"Sharma","given":"Pushpa Prasad","non-dropping-particle":"","parse-names":false,"suffix":""},{"dropping-particle":"","family":"Sanjel","given":"Seshananda","non-dropping-particle":"","parse-names":false,"suffix":""}],"container-title":"Journal of the Nepal Medical Association","id":"ITEM-1","issue":"6","issued":{"date-parts":[["2013"]]},"page":"322-331","title":"Attitude toward mental illness and psychiatry among the medical students and interns in a medical college","type":"article-journal","volume":"52"},"uris":["http://www.mendeley.com/documents/?uuid=dc3301e0-9e11-4f35-a931-65bf3e02e5c1"]}],"mendeley":{"formattedCitation":"(Risal et al., 2013)","plainTextFormattedCitation":"(Risal et al., 2013)","previouslyFormattedCitation":"(Risal et al., 2013)"},"properties":{"noteIndex":0},"schema":"https://github.com/citation-style-language/schema/raw/master/csl-citation.json"}</w:instrText>
      </w:r>
      <w:r w:rsidRPr="004A782C">
        <w:rPr>
          <w:rFonts w:eastAsia="Times New Roman"/>
          <w:color w:val="000000" w:themeColor="text1"/>
          <w:lang w:bidi="ne-NP"/>
        </w:rPr>
        <w:fldChar w:fldCharType="separate"/>
      </w:r>
      <w:r w:rsidRPr="004A782C">
        <w:rPr>
          <w:rFonts w:eastAsia="Times New Roman"/>
          <w:noProof/>
          <w:color w:val="000000" w:themeColor="text1"/>
          <w:lang w:bidi="ne-NP"/>
        </w:rPr>
        <w:t>(Risal et al., 2013)</w:t>
      </w:r>
      <w:r w:rsidRPr="004A782C">
        <w:rPr>
          <w:rFonts w:eastAsia="Times New Roman"/>
          <w:color w:val="000000" w:themeColor="text1"/>
          <w:lang w:bidi="ne-NP"/>
        </w:rPr>
        <w:fldChar w:fldCharType="end"/>
      </w:r>
      <w:r w:rsidR="00544A83" w:rsidRPr="004A782C">
        <w:rPr>
          <w:rFonts w:eastAsia="Times New Roman"/>
          <w:color w:val="000000" w:themeColor="text1"/>
          <w:lang w:bidi="ne-NP"/>
        </w:rPr>
        <w:t xml:space="preserve">. </w:t>
      </w:r>
      <w:r w:rsidR="004E67D1" w:rsidRPr="004A782C">
        <w:rPr>
          <w:color w:val="000000" w:themeColor="text1"/>
        </w:rPr>
        <w:fldChar w:fldCharType="begin" w:fldLock="1"/>
      </w:r>
      <w:r w:rsidR="003209B7" w:rsidRPr="004A782C">
        <w:rPr>
          <w:color w:val="000000" w:themeColor="text1"/>
        </w:rPr>
        <w:instrText>ADDIN CSL_CITATION {"citationItems":[{"id":"ITEM-1","itemData":{"ISSN":"09751459","abstract":"Objectives: To obtain information about basic knowledge towards mental disorders and to evaluate Students attitudes towards people with mental disorders. Methods: Questionnaires which collected basic demographic information, BMI (Beliefs towards Mental Illness) scale is used to assess the attitudes and is delivered to all the students. Results: Completed questionnaires were collected from 50 subjects. In general, the participants’ attitude towards people with mental illness was poor.In this study,majority of the participants were aged 20 to 23 years compared with other age-groups and were found to be males. 100% of the respondents says that they get afraid of what others would think if they were diagnosed as having a psychological disorder. Conclusions: Personal contact with people with mental illness may help to improve condition. Younger people in secondary school should be the target and prioritised group for mental health education. Apart from the delivery of mental health knowledge, strategies to increase social contact of the public with people having mental illness could be considered in the design and implementation of anti-stigma programmes.","author":[{"dropping-particle":"","family":"Jyothi","given":"Neeli Uma","non-dropping-particle":"","parse-names":false,"suffix":""},{"dropping-particle":"","family":"Bollu","given":"Mounica","non-dropping-particle":"","parse-names":false,"suffix":""},{"dropping-particle":"","family":"Ali","given":"Sk. Faizan","non-dropping-particle":"","parse-names":false,"suffix":""},{"dropping-particle":"","family":"Chaitanya","given":"D. Sri","non-dropping-particle":"","parse-names":false,"suffix":""},{"dropping-particle":"","family":"Mounika","given":"S.","non-dropping-particle":"","parse-names":false,"suffix":""}],"container-title":"Journal of Pharmaceutical Sciences and Research","id":"ITEM-1","issue":"7","issued":{"date-parts":[["2015"]]},"page":"393-396","title":"A questionnaire survey on student’s attitudes towards individuals with mental illness","type":"article-journal","volume":"7"},"uris":["http://www.mendeley.com/documents/?uuid=3775a604-0bad-4b65-a994-9e2ec12971a6"]}],"mendeley":{"formattedCitation":"(Jyothi et al., 2015)","manualFormatting":"Jyothi et al. (2015)","plainTextFormattedCitation":"(Jyothi et al., 2015)","previouslyFormattedCitation":"(Jyothi et al., 2015)"},"properties":{"noteIndex":0},"schema":"https://github.com/citation-style-language/schema/raw/master/csl-citation.json"}</w:instrText>
      </w:r>
      <w:r w:rsidR="004E67D1" w:rsidRPr="004A782C">
        <w:rPr>
          <w:color w:val="000000" w:themeColor="text1"/>
        </w:rPr>
        <w:fldChar w:fldCharType="separate"/>
      </w:r>
      <w:r w:rsidR="004E67D1" w:rsidRPr="004A782C">
        <w:rPr>
          <w:noProof/>
          <w:color w:val="000000" w:themeColor="text1"/>
        </w:rPr>
        <w:t>Jyothi et al. (2015)</w:t>
      </w:r>
      <w:r w:rsidR="004E67D1" w:rsidRPr="004A782C">
        <w:rPr>
          <w:color w:val="000000" w:themeColor="text1"/>
        </w:rPr>
        <w:fldChar w:fldCharType="end"/>
      </w:r>
      <w:r w:rsidR="004E67D1" w:rsidRPr="004A782C">
        <w:rPr>
          <w:color w:val="000000" w:themeColor="text1"/>
        </w:rPr>
        <w:t xml:space="preserve"> found that </w:t>
      </w:r>
      <w:r w:rsidR="00544A83" w:rsidRPr="004A782C">
        <w:rPr>
          <w:color w:val="000000" w:themeColor="text1"/>
        </w:rPr>
        <w:t xml:space="preserve">medical students had unfavorable </w:t>
      </w:r>
      <w:r w:rsidR="004E67D1" w:rsidRPr="004A782C">
        <w:rPr>
          <w:color w:val="000000" w:themeColor="text1"/>
        </w:rPr>
        <w:t xml:space="preserve">attitudes towards </w:t>
      </w:r>
      <w:r w:rsidR="00E34030" w:rsidRPr="004A782C">
        <w:rPr>
          <w:color w:val="000000" w:themeColor="text1"/>
        </w:rPr>
        <w:t xml:space="preserve">the </w:t>
      </w:r>
      <w:r w:rsidR="004E67D1" w:rsidRPr="004A782C">
        <w:rPr>
          <w:color w:val="000000" w:themeColor="text1"/>
        </w:rPr>
        <w:t xml:space="preserve">mentally ill, where </w:t>
      </w:r>
      <w:r w:rsidR="00544A83" w:rsidRPr="004A782C">
        <w:rPr>
          <w:color w:val="000000" w:themeColor="text1"/>
        </w:rPr>
        <w:t>90% of students believed that a mentally ill person was more likely to harm others.</w:t>
      </w:r>
      <w:r w:rsidR="00643D84" w:rsidRPr="004A782C">
        <w:rPr>
          <w:color w:val="000000" w:themeColor="text1"/>
        </w:rPr>
        <w:t xml:space="preserve"> </w:t>
      </w:r>
      <w:r w:rsidR="00E91999" w:rsidRPr="004A782C">
        <w:rPr>
          <w:color w:val="000000" w:themeColor="text1"/>
        </w:rPr>
        <w:t xml:space="preserve">Similarly, </w:t>
      </w:r>
      <w:r w:rsidR="00E91999" w:rsidRPr="004A782C">
        <w:rPr>
          <w:rFonts w:eastAsia="Times New Roman"/>
          <w:color w:val="000000" w:themeColor="text1"/>
          <w:lang w:bidi="ne-NP"/>
        </w:rPr>
        <w:t xml:space="preserve">another study also found that student nurses possessed predominantly unfavorable views towards mental illness, perceiving individuals with mental health conditions as potentially harmful or threatening </w:t>
      </w:r>
      <w:r w:rsidR="00E91999" w:rsidRPr="004A782C">
        <w:rPr>
          <w:rFonts w:eastAsia="Times New Roman"/>
          <w:color w:val="000000" w:themeColor="text1"/>
          <w:lang w:bidi="ne-NP"/>
        </w:rPr>
        <w:fldChar w:fldCharType="begin" w:fldLock="1"/>
      </w:r>
      <w:r w:rsidR="00AC3376" w:rsidRPr="004A782C">
        <w:rPr>
          <w:rFonts w:eastAsia="Times New Roman"/>
          <w:color w:val="000000" w:themeColor="text1"/>
          <w:lang w:bidi="ne-NP"/>
        </w:rPr>
        <w:instrText>ADDIN CSL_CITATION {"citationItems":[{"id":"ITEM-1","itemData":{"DOI":"10.1111/jpm.12234","ISSN":"13652850","PMID":"26036468","abstract":"Negative attitudes towards people with mental illness exist across all nations and cultures. People with mental illness experience the most discrimination from health professionals. This impacts negatively on the illness experience and results in poorer outcomes. The social and political climate and the culture of countries are strong determinants of tolerance and stigma of people with mental illness. The country in which a nurse practices is the most influential factor in predicting their attitudes to mental illness. In Jamaica, the most common response to mental illness is fear of dangerousness; however, in recent years, there has been some improvement in tolerance and attitudes. There are no studies that have explored whether these attitudes are held by nursing students. This paper provides baseline evidence that some student nurses in Jamaica hold negative attitudes towards mental illness, particularly, a perception that people with mental illness are dangerous. Negative attitudes and staff criticism is known to be associated with poorer patient functioning and overall outcomes. Fewer nurses view mental health nursing as a possible career choice. There is longstanding evidence of nurses demonstrating negative attitudes towards people with mental illness. Student nurses' fear or discomfort with mentally ill patients results in poorer outcomes for patients and students' dissatisfaction with their experience of mental health nursing. There is evidence of negative attitudes towards mental illness in the Jamaican society; however, no studies have explored whether these attitudes are held by nursing students. The aim of the study was to examine the attitudes of nursing students towards mental illness. A questionnaire survey was conducted with a convenience sample of 143 third-year nursing students who were enrolled in a baccalaureate programme. Data were collected using the Attitudes Towards Acute Mental Health Scale (ATAMHS). A response rate of 71% was achieved for the survey. The findings indicated that the student nurses held an overall negative attitude towards mental illness, with a general perception that mentally ill people are dangerous. The student nurses were divided in their opinions in a number of areas, suggesting a possible conflict of opinions. Negative attitudes towards mental illness impact client outcomes and the career choices made by nurses. This study provides baseline data within the Jamaican context that adds to the evidence on nurs…","author":[{"dropping-particle":"","family":"Bennett","given":"J.","non-dropping-particle":"","parse-names":false,"suffix":""},{"dropping-particle":"","family":"Stennett","given":"R.","non-dropping-particle":"","parse-names":false,"suffix":""}],"container-title":"Journal of Psychiatric and Mental Health Nursing","id":"ITEM-1","issue":"8","issued":{"date-parts":[["2015"]]},"page":"599-605","title":"Attitudes towards mental illness of nursing students in a Baccalaureate programme in Jamaica: A questionnaire survey","type":"article-journal","volume":"22"},"uris":["http://www.mendeley.com/documents/?uuid=01e2e8aa-0a3f-4b7f-98f7-e0ade3e3e4c4"]}],"mendeley":{"formattedCitation":"(Bennett &amp; Stennett, 2015)","plainTextFormattedCitation":"(Bennett &amp; Stennett, 2015)","previouslyFormattedCitation":"(Bennett &amp; Stennett, 2015)"},"properties":{"noteIndex":0},"schema":"https://github.com/citation-style-language/schema/raw/master/csl-citation.json"}</w:instrText>
      </w:r>
      <w:r w:rsidR="00E91999" w:rsidRPr="004A782C">
        <w:rPr>
          <w:rFonts w:eastAsia="Times New Roman"/>
          <w:color w:val="000000" w:themeColor="text1"/>
          <w:lang w:bidi="ne-NP"/>
        </w:rPr>
        <w:fldChar w:fldCharType="separate"/>
      </w:r>
      <w:r w:rsidR="00E91999" w:rsidRPr="004A782C">
        <w:rPr>
          <w:rFonts w:eastAsia="Times New Roman"/>
          <w:noProof/>
          <w:color w:val="000000" w:themeColor="text1"/>
          <w:lang w:bidi="ne-NP"/>
        </w:rPr>
        <w:t>(Bennett &amp; Stennett, 2015)</w:t>
      </w:r>
      <w:r w:rsidR="00E91999" w:rsidRPr="004A782C">
        <w:rPr>
          <w:rFonts w:eastAsia="Times New Roman"/>
          <w:color w:val="000000" w:themeColor="text1"/>
          <w:lang w:bidi="ne-NP"/>
        </w:rPr>
        <w:fldChar w:fldCharType="end"/>
      </w:r>
      <w:r w:rsidR="00E91999" w:rsidRPr="004A782C">
        <w:rPr>
          <w:rFonts w:eastAsia="Times New Roman"/>
          <w:color w:val="000000" w:themeColor="text1"/>
          <w:lang w:bidi="ne-NP"/>
        </w:rPr>
        <w:t>.</w:t>
      </w:r>
    </w:p>
    <w:p w14:paraId="40FDBB4A" w14:textId="0438C5D9" w:rsidR="00544A83" w:rsidRPr="004A782C" w:rsidRDefault="00544A83" w:rsidP="00B27EBA">
      <w:pPr>
        <w:spacing w:after="0"/>
        <w:ind w:firstLine="720"/>
        <w:contextualSpacing/>
        <w:jc w:val="both"/>
        <w:rPr>
          <w:rFonts w:eastAsia="Times New Roman"/>
          <w:color w:val="000000" w:themeColor="text1"/>
          <w:lang w:bidi="ne-NP"/>
        </w:rPr>
      </w:pPr>
      <w:r w:rsidRPr="004A782C">
        <w:rPr>
          <w:rFonts w:eastAsia="Times New Roman"/>
          <w:color w:val="000000" w:themeColor="text1"/>
          <w:lang w:bidi="ne-NP"/>
        </w:rPr>
        <w:t xml:space="preserve">The authors found </w:t>
      </w:r>
      <w:r w:rsidR="00E34030" w:rsidRPr="004A782C">
        <w:rPr>
          <w:rFonts w:eastAsia="Times New Roman"/>
          <w:color w:val="000000" w:themeColor="text1"/>
          <w:lang w:bidi="ne-NP"/>
        </w:rPr>
        <w:t xml:space="preserve">the </w:t>
      </w:r>
      <w:r w:rsidRPr="004A782C">
        <w:rPr>
          <w:rFonts w:eastAsia="Times New Roman"/>
          <w:color w:val="000000" w:themeColor="text1"/>
          <w:lang w:bidi="ne-NP"/>
        </w:rPr>
        <w:t xml:space="preserve">highest </w:t>
      </w:r>
      <w:proofErr w:type="spellStart"/>
      <w:r w:rsidR="00E34030" w:rsidRPr="004A782C">
        <w:rPr>
          <w:rFonts w:eastAsia="Times New Roman"/>
          <w:color w:val="000000" w:themeColor="text1"/>
          <w:lang w:bidi="ne-NP"/>
        </w:rPr>
        <w:t>unfavourabl</w:t>
      </w:r>
      <w:r w:rsidRPr="004A782C">
        <w:rPr>
          <w:rFonts w:eastAsia="Times New Roman"/>
          <w:color w:val="000000" w:themeColor="text1"/>
          <w:lang w:bidi="ne-NP"/>
        </w:rPr>
        <w:t>e</w:t>
      </w:r>
      <w:proofErr w:type="spellEnd"/>
      <w:r w:rsidRPr="004A782C">
        <w:rPr>
          <w:rFonts w:eastAsia="Times New Roman"/>
          <w:color w:val="000000" w:themeColor="text1"/>
          <w:lang w:bidi="ne-NP"/>
        </w:rPr>
        <w:t xml:space="preserve"> attitude in students from private college</w:t>
      </w:r>
      <w:r w:rsidR="00E34030" w:rsidRPr="004A782C">
        <w:rPr>
          <w:rFonts w:eastAsia="Times New Roman"/>
          <w:color w:val="000000" w:themeColor="text1"/>
          <w:lang w:bidi="ne-NP"/>
        </w:rPr>
        <w:t>s</w:t>
      </w:r>
      <w:r w:rsidRPr="004A782C">
        <w:rPr>
          <w:rFonts w:eastAsia="Times New Roman"/>
          <w:color w:val="000000" w:themeColor="text1"/>
          <w:lang w:bidi="ne-NP"/>
        </w:rPr>
        <w:t>. However, the difference among the groups was non-significant.</w:t>
      </w:r>
      <w:r w:rsidR="00861274" w:rsidRPr="004A782C">
        <w:rPr>
          <w:rFonts w:eastAsia="Times New Roman"/>
          <w:color w:val="000000" w:themeColor="text1"/>
          <w:lang w:bidi="ne-NP"/>
        </w:rPr>
        <w:t xml:space="preserve"> We found </w:t>
      </w:r>
      <w:r w:rsidR="00852040" w:rsidRPr="004A782C">
        <w:rPr>
          <w:rFonts w:eastAsia="Times New Roman"/>
          <w:color w:val="000000" w:themeColor="text1"/>
          <w:lang w:bidi="ne-NP"/>
        </w:rPr>
        <w:t>students</w:t>
      </w:r>
      <w:r w:rsidR="00861274" w:rsidRPr="004A782C">
        <w:rPr>
          <w:rFonts w:eastAsia="Times New Roman"/>
          <w:color w:val="000000" w:themeColor="text1"/>
          <w:lang w:bidi="ne-NP"/>
        </w:rPr>
        <w:t xml:space="preserve"> from private school had significantly higher level of </w:t>
      </w:r>
      <w:r w:rsidR="00852040" w:rsidRPr="004A782C">
        <w:rPr>
          <w:rFonts w:eastAsia="Times New Roman"/>
          <w:color w:val="000000" w:themeColor="text1"/>
          <w:lang w:bidi="ne-NP"/>
        </w:rPr>
        <w:t xml:space="preserve">internal shame than students from </w:t>
      </w:r>
      <w:r w:rsidR="00F15ABF" w:rsidRPr="004A782C">
        <w:rPr>
          <w:rFonts w:eastAsia="Times New Roman"/>
          <w:color w:val="000000" w:themeColor="text1"/>
          <w:lang w:bidi="ne-NP"/>
        </w:rPr>
        <w:t>Government College</w:t>
      </w:r>
      <w:r w:rsidR="00861274" w:rsidRPr="004A782C">
        <w:rPr>
          <w:rFonts w:eastAsia="Times New Roman"/>
          <w:color w:val="000000" w:themeColor="text1"/>
          <w:lang w:bidi="ne-NP"/>
        </w:rPr>
        <w:t>.</w:t>
      </w:r>
      <w:r w:rsidR="004A782C">
        <w:rPr>
          <w:rFonts w:eastAsia="Times New Roman"/>
          <w:color w:val="000000" w:themeColor="text1"/>
          <w:lang w:bidi="ne-NP"/>
        </w:rPr>
        <w:t xml:space="preserve"> </w:t>
      </w:r>
    </w:p>
    <w:p w14:paraId="0A5833FF" w14:textId="2B8F1320" w:rsidR="00F15ABF" w:rsidRPr="004A782C" w:rsidRDefault="00E34030" w:rsidP="00B27EBA">
      <w:pPr>
        <w:spacing w:after="0"/>
        <w:ind w:firstLine="720"/>
        <w:contextualSpacing/>
        <w:jc w:val="both"/>
        <w:rPr>
          <w:rFonts w:eastAsia="Times New Roman"/>
          <w:color w:val="000000" w:themeColor="text1"/>
          <w:lang w:bidi="ne-NP"/>
        </w:rPr>
      </w:pPr>
      <w:r w:rsidRPr="004A782C">
        <w:rPr>
          <w:rFonts w:eastAsia="Times New Roman"/>
          <w:color w:val="000000" w:themeColor="text1"/>
          <w:lang w:bidi="ne-NP"/>
        </w:rPr>
        <w:t>It was also</w:t>
      </w:r>
      <w:r w:rsidR="00544A83" w:rsidRPr="004A782C">
        <w:rPr>
          <w:rFonts w:eastAsia="Times New Roman"/>
          <w:color w:val="000000" w:themeColor="text1"/>
          <w:lang w:bidi="ne-NP"/>
        </w:rPr>
        <w:t xml:space="preserve"> observed that people who know people with mental health problem</w:t>
      </w:r>
      <w:r w:rsidRPr="004A782C">
        <w:rPr>
          <w:rFonts w:eastAsia="Times New Roman"/>
          <w:color w:val="000000" w:themeColor="text1"/>
          <w:lang w:bidi="ne-NP"/>
        </w:rPr>
        <w:t>s</w:t>
      </w:r>
      <w:r w:rsidR="00544A83" w:rsidRPr="004A782C">
        <w:rPr>
          <w:rFonts w:eastAsia="Times New Roman"/>
          <w:color w:val="000000" w:themeColor="text1"/>
          <w:lang w:bidi="ne-NP"/>
        </w:rPr>
        <w:t xml:space="preserve"> had higher level of unfavorable attitudes than people who do not know such people. However, the difference was non-significant. A study found non-significant results with people who had previous experience people who had </w:t>
      </w:r>
      <w:r w:rsidRPr="004A782C">
        <w:rPr>
          <w:rFonts w:eastAsia="Times New Roman"/>
          <w:color w:val="000000" w:themeColor="text1"/>
          <w:lang w:bidi="ne-NP"/>
        </w:rPr>
        <w:t xml:space="preserve">a </w:t>
      </w:r>
      <w:r w:rsidR="00544A83" w:rsidRPr="004A782C">
        <w:rPr>
          <w:rFonts w:eastAsia="Times New Roman"/>
          <w:color w:val="000000" w:themeColor="text1"/>
          <w:lang w:bidi="ne-NP"/>
        </w:rPr>
        <w:t xml:space="preserve">mental illness </w:t>
      </w:r>
      <w:r w:rsidR="00544A83" w:rsidRPr="004A782C">
        <w:rPr>
          <w:rFonts w:eastAsia="Times New Roman"/>
          <w:color w:val="000000" w:themeColor="text1"/>
          <w:lang w:bidi="ne-NP"/>
        </w:rPr>
        <w:fldChar w:fldCharType="begin" w:fldLock="1"/>
      </w:r>
      <w:r w:rsidR="00787A32" w:rsidRPr="004A782C">
        <w:rPr>
          <w:rFonts w:eastAsia="Times New Roman"/>
          <w:color w:val="000000" w:themeColor="text1"/>
          <w:lang w:bidi="ne-NP"/>
        </w:rPr>
        <w:instrText>ADDIN CSL_CITATION {"citationItems":[{"id":"ITEM-1","itemData":{"DOI":"10.2147/PRBM.S191676","ISSN":"11791578","abstract":"Background: It has been reported that the majority of individuals with mental illnesses (MIs) do not seek help. Few studies have focused on correlates of a positive attitude toward professional help-seeking for MI. This study aimed to determine levels of knowledge, perception, and attitudes toward MI, determine attitudes toward mental health help-seeking, and identify sociodemographic predictors of correct knowledge and favorable attitudes among the Saudi public. Methods: A cross-sectional survey was conducted on 650 Saudi adults aged &gt;18 years who attended the Saudi Jenadriyah annual cultural and heritage festival during February 2016. The previously validated Attitudes to Mental Illness Questionnaire was used. Attitude to professional help-seeking was also assessed, using a tool retrieved from the World Mental Health Composite International Diagnostic Interview part II. Multiple regression analyses were applied, and statistical significance considered at P&lt;0.05. Results: The majority of the Saudi public reported lack of knowledge about the nature of MI (87.5%, percentage mean score [PMS] 45.02±19.98), negative perception (59%, PMS 59.76±9.16), negative attitudes to MI (66.5%, PMS 65.86±7.77), and negative attitudes to professional help-seeking (54.5%, PMS 62.45±8.54). Marital status was a predictor of knowledge (t=–3.12, P=0.002), attitudes to MI (t=2.93, P=0.003), and attitudes to help-seeking (t=2.20, P=0.03). Attitudes to help-seeking were also predicted by sex (t=–2.72, P=0.007), employment (t=3.05, P=0.002), and monthly income (t=2.79, P=0.005). Perceptions toward the mentally ill were not predicted by these socioeconomic characteristics (P&gt;0.05). Conclusion: The Saudi public reported lack of knowledge of MI and stigmatizing attitudes toward people with MI in relation to treatment, work, marriage, and recovery and toward professional help-seeking. Sociodemographic characteristics predicted correct knowledge and favorable attitudes, while Saudi culture was the likely factor behind negative judgments about mentally ill persons. Efforts to challenge this negative publicity and stigma through antistigma campaigns and public education through schools and media are recommended.","author":[{"dropping-particle":"","family":"Abolfotouh","given":"Mostafa A.","non-dropping-particle":"","parse-names":false,"suffix":""},{"dropping-particle":"","family":"Almutairi","given":"Adel F.","non-dropping-particle":"","parse-names":false,"suffix":""},{"dropping-particle":"","family":"Almutairi","given":"Zainab","non-dropping-particle":"","parse-names":false,"suffix":""},{"dropping-particle":"","family":"Salam","given":"Mahmoud","non-dropping-particle":"","parse-names":false,"suffix":""},{"dropping-particle":"","family":"Alhashem","given":"Anwar","non-dropping-particle":"","parse-names":false,"suffix":""},{"dropping-particle":"","family":"Adlan","given":"Abdallah A.","non-dropping-particle":"","parse-names":false,"suffix":""},{"dropping-particle":"","family":"Modayfer","given":"Omar","non-dropping-particle":"","parse-names":false,"suffix":""}],"container-title":"Psychology Research and Behavior Management","id":"ITEM-1","issued":{"date-parts":[["2019"]]},"page":"45-54","title":"Attitudes toward mental illness, mentally ill persons, and help-seeking among the Saudi public and sociodemographic correlates","type":"article-journal","volume":"12"},"uris":["http://www.mendeley.com/documents/?uuid=f4da439a-e992-4d3b-beb5-0f595d39b8a0"]}],"mendeley":{"formattedCitation":"(Abolfotouh et al., 2019)","plainTextFormattedCitation":"(Abolfotouh et al., 2019)","previouslyFormattedCitation":"(Abolfotouh et al., 2019)"},"properties":{"noteIndex":0},"schema":"https://github.com/citation-style-language/schema/raw/master/csl-citation.json"}</w:instrText>
      </w:r>
      <w:r w:rsidR="00544A83" w:rsidRPr="004A782C">
        <w:rPr>
          <w:rFonts w:eastAsia="Times New Roman"/>
          <w:color w:val="000000" w:themeColor="text1"/>
          <w:lang w:bidi="ne-NP"/>
        </w:rPr>
        <w:fldChar w:fldCharType="separate"/>
      </w:r>
      <w:r w:rsidR="00544A83" w:rsidRPr="004A782C">
        <w:rPr>
          <w:rFonts w:eastAsia="Times New Roman"/>
          <w:noProof/>
          <w:color w:val="000000" w:themeColor="text1"/>
          <w:lang w:bidi="ne-NP"/>
        </w:rPr>
        <w:t>(Abolfotouh et al., 2019)</w:t>
      </w:r>
      <w:r w:rsidR="00544A83" w:rsidRPr="004A782C">
        <w:rPr>
          <w:rFonts w:eastAsia="Times New Roman"/>
          <w:color w:val="000000" w:themeColor="text1"/>
          <w:lang w:bidi="ne-NP"/>
        </w:rPr>
        <w:fldChar w:fldCharType="end"/>
      </w:r>
      <w:r w:rsidR="00544A83" w:rsidRPr="004A782C">
        <w:rPr>
          <w:rFonts w:eastAsia="Times New Roman"/>
          <w:color w:val="000000" w:themeColor="text1"/>
          <w:lang w:bidi="ne-NP"/>
        </w:rPr>
        <w:t>. Another study found that the general population and specialists revealed a negative attitude towards psychiatric patients; however, family practitioners revealed a posi</w:t>
      </w:r>
      <w:r w:rsidR="00F15ABF" w:rsidRPr="004A782C">
        <w:rPr>
          <w:rFonts w:eastAsia="Times New Roman"/>
          <w:color w:val="000000" w:themeColor="text1"/>
          <w:lang w:bidi="ne-NP"/>
        </w:rPr>
        <w:t>tive attitude</w:t>
      </w:r>
      <w:r w:rsidR="001B56A1" w:rsidRPr="004A782C">
        <w:rPr>
          <w:rFonts w:eastAsia="Times New Roman"/>
          <w:color w:val="000000" w:themeColor="text1"/>
          <w:lang w:bidi="ne-NP"/>
        </w:rPr>
        <w:t xml:space="preserve"> </w:t>
      </w:r>
      <w:r w:rsidR="001B56A1" w:rsidRPr="004A782C">
        <w:rPr>
          <w:rFonts w:eastAsia="Times New Roman"/>
          <w:color w:val="000000" w:themeColor="text1"/>
          <w:lang w:bidi="ne-NP"/>
        </w:rPr>
        <w:fldChar w:fldCharType="begin" w:fldLock="1"/>
      </w:r>
      <w:r w:rsidR="001B56A1" w:rsidRPr="004A782C">
        <w:rPr>
          <w:rFonts w:eastAsia="Times New Roman"/>
          <w:color w:val="000000" w:themeColor="text1"/>
          <w:lang w:bidi="ne-NP"/>
        </w:rPr>
        <w:instrText>ADDIN CSL_CITATION {"citationItems":[{"id":"ITEM-1","itemData":{"DOI":"10.4314/ejhs.v28i6.12","ISSN":"24137170","PMID":"30607094","abstract":"Background: Physicians working in Saudi Arabia belong to different countries and may have differences in knowledge and attitude towards psychiatry. We evaluated non-psychiatric physician's knowledge and attitude towards psychiatric disorders, such as anxiety and depression, in the Kingdom of Saudi Arabia. Methods: A descriptive cross-sectional study design was used. The current knowledge and attitude towards anxiety and depression of physicians were determined by using a questionnaire. We distributed 180 study questionnaires at various hospitals to be answered by physicians in the Riyadh Province of Saudi Arabia. One hundred and forty-two completed questionnaires were included in the study. The participants were divided into three groups: (1) 63(44.4%) general practitioners (GPs), (2) 55 (38.7%) specialists and (3) 24 (16.9%) family practitioners. Data were analysed using the chi-square, ANOVA and independent sample t-test. Results: GPs and specialists showed a negative attitude towards psychiatric patients, but family practitioners showed a positive attitude. There were statistically significant differences (p&lt;0.05) in the knowledge regarding anxiety and depression among the groups. The relationship between specialty and knowledge was statistically significant (p&lt;0.05) and the effect of first language is insignificant (p&gt;0.05). Conclusion: Expansive enlightenment programmes, continued medical education and inclusion of psychiatric posting in rotating residential internship programme during undergraduate courses are required for physicians not only to fill the gap in knowledge and attitude but also to improve their cognitive, communication and interpersonal skills.","author":[{"dropping-particle":"","family":"Al-Atram","given":"Abdulrahman A","non-dropping-particle":"","parse-names":false,"suffix":""}],"container-title":"Ethiopian journal of health sciences","id":"ITEM-1","issued":{"date-parts":[["2018"]]},"page":"771-778","title":"Physicians' Knowledge and Attitude towards Mental Health in Saudi Arabia","type":"article-journal","volume":"28"},"uris":["http://www.mendeley.com/documents/?uuid=9eef3a64-b698-4513-a847-6fa45b74275b"]}],"mendeley":{"formattedCitation":"(Al-Atram, 2018)","plainTextFormattedCitation":"(Al-Atram, 2018)","previouslyFormattedCitation":"(Al-Atram, 2018)"},"properties":{"noteIndex":0},"schema":"https://github.com/citation-style-language/schema/raw/master/csl-citation.json"}</w:instrText>
      </w:r>
      <w:r w:rsidR="001B56A1" w:rsidRPr="004A782C">
        <w:rPr>
          <w:rFonts w:eastAsia="Times New Roman"/>
          <w:color w:val="000000" w:themeColor="text1"/>
          <w:lang w:bidi="ne-NP"/>
        </w:rPr>
        <w:fldChar w:fldCharType="separate"/>
      </w:r>
      <w:r w:rsidR="001B56A1" w:rsidRPr="004A782C">
        <w:rPr>
          <w:rFonts w:eastAsia="Times New Roman"/>
          <w:noProof/>
          <w:color w:val="000000" w:themeColor="text1"/>
          <w:lang w:bidi="ne-NP"/>
        </w:rPr>
        <w:t>(Al-Atram, 2018)</w:t>
      </w:r>
      <w:r w:rsidR="001B56A1" w:rsidRPr="004A782C">
        <w:rPr>
          <w:rFonts w:eastAsia="Times New Roman"/>
          <w:color w:val="000000" w:themeColor="text1"/>
          <w:lang w:bidi="ne-NP"/>
        </w:rPr>
        <w:fldChar w:fldCharType="end"/>
      </w:r>
      <w:r w:rsidR="001B56A1" w:rsidRPr="004A782C">
        <w:rPr>
          <w:rFonts w:eastAsia="Times New Roman"/>
          <w:color w:val="000000" w:themeColor="text1"/>
          <w:lang w:bidi="ne-NP"/>
        </w:rPr>
        <w:t xml:space="preserve">. </w:t>
      </w:r>
    </w:p>
    <w:p w14:paraId="3FF37278" w14:textId="45C9D513" w:rsidR="00544A83" w:rsidRPr="004A782C" w:rsidRDefault="00544A83" w:rsidP="00B27EBA">
      <w:pPr>
        <w:spacing w:after="0"/>
        <w:ind w:firstLine="720"/>
        <w:contextualSpacing/>
        <w:jc w:val="both"/>
        <w:rPr>
          <w:rFonts w:eastAsia="Times New Roman"/>
          <w:color w:val="000000" w:themeColor="text1"/>
          <w:lang w:bidi="ne-NP"/>
        </w:rPr>
      </w:pPr>
      <w:r w:rsidRPr="004A782C">
        <w:rPr>
          <w:rFonts w:eastAsia="Times New Roman"/>
          <w:color w:val="000000" w:themeColor="text1"/>
          <w:lang w:bidi="ne-NP"/>
        </w:rPr>
        <w:t xml:space="preserve">This study is inconsistent with the result that </w:t>
      </w:r>
      <w:r w:rsidR="00E34030" w:rsidRPr="004A782C">
        <w:rPr>
          <w:rFonts w:eastAsia="Times New Roman"/>
          <w:color w:val="000000" w:themeColor="text1"/>
          <w:lang w:bidi="ne-NP"/>
        </w:rPr>
        <w:t>is</w:t>
      </w:r>
      <w:r w:rsidRPr="004A782C">
        <w:rPr>
          <w:rFonts w:eastAsia="Times New Roman"/>
          <w:color w:val="000000" w:themeColor="text1"/>
          <w:lang w:bidi="ne-NP"/>
        </w:rPr>
        <w:t xml:space="preserve"> familiar with close people with mental illness, less </w:t>
      </w:r>
      <w:r w:rsidR="00852040" w:rsidRPr="004A782C">
        <w:rPr>
          <w:rFonts w:eastAsia="Times New Roman"/>
          <w:color w:val="000000" w:themeColor="text1"/>
          <w:lang w:bidi="ne-NP"/>
        </w:rPr>
        <w:t>stigmatizing</w:t>
      </w:r>
      <w:r w:rsidRPr="004A782C">
        <w:rPr>
          <w:rFonts w:eastAsia="Times New Roman"/>
          <w:color w:val="000000" w:themeColor="text1"/>
          <w:lang w:bidi="ne-NP"/>
        </w:rPr>
        <w:t xml:space="preserve"> attitudes and higher knowledge of mental illness were associated with higher </w:t>
      </w:r>
      <w:proofErr w:type="spellStart"/>
      <w:r w:rsidRPr="004A782C">
        <w:rPr>
          <w:rFonts w:eastAsia="Times New Roman"/>
          <w:color w:val="000000" w:themeColor="text1"/>
          <w:lang w:bidi="ne-NP"/>
        </w:rPr>
        <w:t>favo</w:t>
      </w:r>
      <w:r w:rsidR="00E34030" w:rsidRPr="004A782C">
        <w:rPr>
          <w:rFonts w:eastAsia="Times New Roman"/>
          <w:color w:val="000000" w:themeColor="text1"/>
          <w:lang w:bidi="ne-NP"/>
        </w:rPr>
        <w:t>u</w:t>
      </w:r>
      <w:r w:rsidRPr="004A782C">
        <w:rPr>
          <w:rFonts w:eastAsia="Times New Roman"/>
          <w:color w:val="000000" w:themeColor="text1"/>
          <w:lang w:bidi="ne-NP"/>
        </w:rPr>
        <w:t>rable</w:t>
      </w:r>
      <w:proofErr w:type="spellEnd"/>
      <w:r w:rsidRPr="004A782C">
        <w:rPr>
          <w:rFonts w:eastAsia="Times New Roman"/>
          <w:color w:val="000000" w:themeColor="text1"/>
          <w:lang w:bidi="ne-NP"/>
        </w:rPr>
        <w:t xml:space="preserve"> </w:t>
      </w:r>
      <w:proofErr w:type="spellStart"/>
      <w:r w:rsidRPr="004A782C">
        <w:rPr>
          <w:rFonts w:eastAsia="Times New Roman"/>
          <w:color w:val="000000" w:themeColor="text1"/>
          <w:lang w:bidi="ne-NP"/>
        </w:rPr>
        <w:t>behavio</w:t>
      </w:r>
      <w:r w:rsidR="00E34030" w:rsidRPr="004A782C">
        <w:rPr>
          <w:rFonts w:eastAsia="Times New Roman"/>
          <w:color w:val="000000" w:themeColor="text1"/>
          <w:lang w:bidi="ne-NP"/>
        </w:rPr>
        <w:t>u</w:t>
      </w:r>
      <w:r w:rsidRPr="004A782C">
        <w:rPr>
          <w:rFonts w:eastAsia="Times New Roman"/>
          <w:color w:val="000000" w:themeColor="text1"/>
          <w:lang w:bidi="ne-NP"/>
        </w:rPr>
        <w:t>rs</w:t>
      </w:r>
      <w:proofErr w:type="spellEnd"/>
      <w:r w:rsidRPr="004A782C">
        <w:rPr>
          <w:rFonts w:eastAsia="Times New Roman"/>
          <w:color w:val="000000" w:themeColor="text1"/>
          <w:lang w:bidi="ne-NP"/>
        </w:rPr>
        <w:t xml:space="preserve">, whereas knowing a non-close person with a mental illness was associated with lower </w:t>
      </w:r>
      <w:proofErr w:type="spellStart"/>
      <w:r w:rsidRPr="004A782C">
        <w:rPr>
          <w:rFonts w:eastAsia="Times New Roman"/>
          <w:color w:val="000000" w:themeColor="text1"/>
          <w:lang w:bidi="ne-NP"/>
        </w:rPr>
        <w:t>favo</w:t>
      </w:r>
      <w:r w:rsidR="00E34030" w:rsidRPr="004A782C">
        <w:rPr>
          <w:rFonts w:eastAsia="Times New Roman"/>
          <w:color w:val="000000" w:themeColor="text1"/>
          <w:lang w:bidi="ne-NP"/>
        </w:rPr>
        <w:t>u</w:t>
      </w:r>
      <w:r w:rsidRPr="004A782C">
        <w:rPr>
          <w:rFonts w:eastAsia="Times New Roman"/>
          <w:color w:val="000000" w:themeColor="text1"/>
          <w:lang w:bidi="ne-NP"/>
        </w:rPr>
        <w:t>rable</w:t>
      </w:r>
      <w:proofErr w:type="spellEnd"/>
      <w:r w:rsidRPr="004A782C">
        <w:rPr>
          <w:rFonts w:eastAsia="Times New Roman"/>
          <w:color w:val="000000" w:themeColor="text1"/>
          <w:lang w:bidi="ne-NP"/>
        </w:rPr>
        <w:t xml:space="preserve"> </w:t>
      </w:r>
      <w:proofErr w:type="spellStart"/>
      <w:r w:rsidRPr="004A782C">
        <w:rPr>
          <w:rFonts w:eastAsia="Times New Roman"/>
          <w:color w:val="000000" w:themeColor="text1"/>
          <w:lang w:bidi="ne-NP"/>
        </w:rPr>
        <w:t>behavio</w:t>
      </w:r>
      <w:r w:rsidR="00E34030" w:rsidRPr="004A782C">
        <w:rPr>
          <w:rFonts w:eastAsia="Times New Roman"/>
          <w:color w:val="000000" w:themeColor="text1"/>
          <w:lang w:bidi="ne-NP"/>
        </w:rPr>
        <w:t>u</w:t>
      </w:r>
      <w:r w:rsidRPr="004A782C">
        <w:rPr>
          <w:rFonts w:eastAsia="Times New Roman"/>
          <w:color w:val="000000" w:themeColor="text1"/>
          <w:lang w:bidi="ne-NP"/>
        </w:rPr>
        <w:t>rs</w:t>
      </w:r>
      <w:proofErr w:type="spellEnd"/>
      <w:r w:rsidR="001B56A1" w:rsidRPr="004A782C">
        <w:rPr>
          <w:rFonts w:eastAsia="Times New Roman"/>
          <w:color w:val="000000" w:themeColor="text1"/>
          <w:lang w:bidi="ne-NP"/>
        </w:rPr>
        <w:t xml:space="preserve"> </w:t>
      </w:r>
      <w:r w:rsidR="001B56A1" w:rsidRPr="004A782C">
        <w:rPr>
          <w:rFonts w:eastAsia="Times New Roman"/>
          <w:color w:val="000000" w:themeColor="text1"/>
          <w:lang w:bidi="ne-NP"/>
        </w:rPr>
        <w:fldChar w:fldCharType="begin" w:fldLock="1"/>
      </w:r>
      <w:r w:rsidR="001B56A1" w:rsidRPr="004A782C">
        <w:rPr>
          <w:rFonts w:eastAsia="Times New Roman"/>
          <w:color w:val="000000" w:themeColor="text1"/>
          <w:lang w:bidi="ne-NP"/>
        </w:rPr>
        <w:instrText>ADDIN CSL_CITATION {"citationItems":[{"id":"ITEM-1","itemData":{"DOI":"10.1371/journal.pone.0222172","ISSN":"19326203","PMID":"31525219","abstract":"Objectives Patients with mental health disorders often have to endure the burdens of the condition itself and the stigma that follows. Since no study has been conducted in Lebanon on this topic, our objective was to assess the knowledge, attitude and behaviors towards public stigma of mental health diseases, among a sample of the Lebanese population. Methods A cross-sectional study, conducted between November 2017 and May 2018, enrolled 2289 participants. The Mental Health Knowledge Schedule (MAKS), the Community Attitudes toward Mental Illness (CAMI) and the Reported and Intended Behavior Scale (RIBS) were used to assess knowledge, attitude and behaviors toward mental illness respectively. The 25th, 50th and 75th percentile of the MAKS, CAMI and RIBS scales scores were considered as cutoff points for low, medium and high scores respectively. Results A high knowledge score was found in 33.0% of the participants, whereas a high attitude score and a higher behavior score were found in 32.2% and 26.9% of the participants respectively. Living in North Lebanon (Beta = 1.331) and being familiar with a non-close person with mental illness (Beta = 0.811) were associated with higher knowledge of mental illness (higher MAKS score), whereas living in Bekaa (Beta = -8.693) and being 70 years old and above (Beta = -5.060) were associated with lower knowledge toward mental illness (lower MAKS score). Higher knowledge of mental illness (higher MAKS score) (Beta = 0.670), having a high level of education (university (Beta = 8.785), secondary (Beta = 6.084) and technical (Beta = 5.677)) were associated with less stigmatizing attitudes (higher CAMI scale). Being familiar with close people with mental illness (Beta = 0.577), less stigmatizing attitudes (higher CAMI scale) (Beta = 0.077) and higher knowledge of mental illness (higher MAKS score) (Beta = 0.115) were associated with higher favorable behaviors (higher RIBS score), whereas knowing a non-close person who have a mental illness (Beta = -0.720) was associated with lower favorable behaviors (lower RIBS score). Conclusion A mass media awareness campaigns that could transmit health messages to a wide public audience in the country to fight stigma toward mental illness, seems warranted.","author":[{"dropping-particle":"","family":"Doumit","given":"Carla Abi","non-dropping-particle":"","parse-names":false,"suffix":""},{"dropping-particle":"","family":"Haddad","given":"Chadia","non-dropping-particle":"","parse-names":false,"suffix":""},{"dropping-particle":"","family":"Sacre","given":"Hala","non-dropping-particle":"","parse-names":false,"suffix":""},{"dropping-particle":"","family":"Salameh","given":"Pascale","non-dropping-particle":"","parse-names":false,"suffix":""},{"dropping-particle":"","family":"Akel","given":"Marwan","non-dropping-particle":"","parse-names":false,"suffix":""},{"dropping-particle":"","family":"Obeid","given":"Sahar","non-dropping-particle":"","parse-names":false,"suffix":""},{"dropping-particle":"","family":"Akiki","given":"Maria","non-dropping-particle":"","parse-names":false,"suffix":""},{"dropping-particle":"","family":"Mattar","given":"Elie","non-dropping-particle":"","parse-names":false,"suffix":""},{"dropping-particle":"","family":"Hilal","given":"Najla","non-dropping-particle":"","parse-names":false,"suffix":""},{"dropping-particle":"","family":"Hallit","given":"Souheil","non-dropping-particle":"","parse-names":false,"suffix":""},{"dropping-particle":"","family":"Soufia","given":"Michel","non-dropping-particle":"","parse-names":false,"suffix":""}],"container-title":"PLoS ONE","id":"ITEM-1","issued":{"date-parts":[["2019"]]},"title":"Knowledge, attitude and behaviors towards patients with mental illness: Results from a national Lebanese study","type":"article-journal"},"uris":["http://www.mendeley.com/documents/?uuid=2d023183-b533-46ad-a402-770abf1aee6b"]}],"mendeley":{"formattedCitation":"(Doumit et al., 2019)","plainTextFormattedCitation":"(Doumit et al., 2019)","previouslyFormattedCitation":"(Doumit et al., 2019)"},"properties":{"noteIndex":0},"schema":"https://github.com/citation-style-language/schema/raw/master/csl-citation.json"}</w:instrText>
      </w:r>
      <w:r w:rsidR="001B56A1" w:rsidRPr="004A782C">
        <w:rPr>
          <w:rFonts w:eastAsia="Times New Roman"/>
          <w:color w:val="000000" w:themeColor="text1"/>
          <w:lang w:bidi="ne-NP"/>
        </w:rPr>
        <w:fldChar w:fldCharType="separate"/>
      </w:r>
      <w:r w:rsidR="001B56A1" w:rsidRPr="004A782C">
        <w:rPr>
          <w:rFonts w:eastAsia="Times New Roman"/>
          <w:noProof/>
          <w:color w:val="000000" w:themeColor="text1"/>
          <w:lang w:bidi="ne-NP"/>
        </w:rPr>
        <w:t>(Doumit et al., 2019)</w:t>
      </w:r>
      <w:r w:rsidR="001B56A1" w:rsidRPr="004A782C">
        <w:rPr>
          <w:rFonts w:eastAsia="Times New Roman"/>
          <w:color w:val="000000" w:themeColor="text1"/>
          <w:lang w:bidi="ne-NP"/>
        </w:rPr>
        <w:fldChar w:fldCharType="end"/>
      </w:r>
      <w:r w:rsidR="001B56A1" w:rsidRPr="004A782C">
        <w:rPr>
          <w:rFonts w:eastAsia="Times New Roman"/>
          <w:color w:val="000000" w:themeColor="text1"/>
          <w:lang w:bidi="ne-NP"/>
        </w:rPr>
        <w:t xml:space="preserve">. </w:t>
      </w:r>
      <w:r w:rsidRPr="004A782C">
        <w:rPr>
          <w:color w:val="000000" w:themeColor="text1"/>
        </w:rPr>
        <w:t>In Nigeria, it was found that having a family member with mental illness lessened the social distance towards the mentally ill amongst the doctors</w:t>
      </w:r>
      <w:r w:rsidR="001B56A1" w:rsidRPr="004A782C">
        <w:rPr>
          <w:color w:val="000000" w:themeColor="text1"/>
        </w:rPr>
        <w:t xml:space="preserve"> </w:t>
      </w:r>
      <w:r w:rsidR="001B56A1" w:rsidRPr="004A782C">
        <w:rPr>
          <w:color w:val="000000" w:themeColor="text1"/>
        </w:rPr>
        <w:fldChar w:fldCharType="begin" w:fldLock="1"/>
      </w:r>
      <w:r w:rsidR="001B56A1" w:rsidRPr="004A782C">
        <w:rPr>
          <w:color w:val="000000" w:themeColor="text1"/>
        </w:rPr>
        <w:instrText>ADDIN CSL_CITATION {"citationItems":[{"id":"ITEM-1","itemData":{"DOI":"10.1007/s00127-007-0246-4","ISSN":"09337954","PMID":"17721670","abstract":"Introduction: It had been suggested that those more knowledgeable about mental illness are less likely to endorse negative or stigmatizing attitudes. This study aimed to evaluate the attitude of doctors in Nigeria towards the mentally ill. Methods: Medical doctors (n = 312) from eight selected health institutions in Nigeria completed various questionnaires on knowledge and attitude towards people with mental illness. Results: Beliefs in supernatural causes were prevalent. The mentally ill were perceived as dangerous and their prognosis perceived as poor. High social distance was found amongst 64.1% and the associated factors include not having a family member/friend with mental illness (OR 7.12, 95% CI 3.71-13.65), age less than 45 years (OR 2.33, 95% CI 1.23-4.40), less than 10 years of clinical experience (OR 6.75, 95% CI 3.86-11.82) and female sex (OR 4.98, 95% CI 2.70-9.18). Conclusion: Culturally enshrined beliefs about mental illness were prevalent among Nigerian doctors. A review of medical curriculum is needed and the present anti-stigma campaigns should start from the doctors. © Springer-Verlag 2007.","author":[{"dropping-particle":"","family":"Adewuya","given":"Abiodun O.","non-dropping-particle":"","parse-names":false,"suffix":""},{"dropping-particle":"","family":"Oguntade","given":"Ayotunde A.","non-dropping-particle":"","parse-names":false,"suffix":""}],"container-title":"Soc Psychiatry Psychiatr Epidemiol","id":"ITEM-1","issue":"11","issued":{"date-parts":[["2007"]]},"page":"931-936","title":"Doctors' attitude towards people with mental illness in Western Nigeria","type":"article-journal","volume":"42"},"uris":["http://www.mendeley.com/documents/?uuid=be310daa-5636-460b-8d6b-844be1ca0efc"]}],"mendeley":{"formattedCitation":"(Adewuya &amp; Oguntade, 2007)","plainTextFormattedCitation":"(Adewuya &amp; Oguntade, 2007)","previouslyFormattedCitation":"(Adewuya &amp; Oguntade, 2007)"},"properties":{"noteIndex":0},"schema":"https://github.com/citation-style-language/schema/raw/master/csl-citation.json"}</w:instrText>
      </w:r>
      <w:r w:rsidR="001B56A1" w:rsidRPr="004A782C">
        <w:rPr>
          <w:color w:val="000000" w:themeColor="text1"/>
        </w:rPr>
        <w:fldChar w:fldCharType="separate"/>
      </w:r>
      <w:r w:rsidR="001B56A1" w:rsidRPr="004A782C">
        <w:rPr>
          <w:noProof/>
          <w:color w:val="000000" w:themeColor="text1"/>
        </w:rPr>
        <w:t>(Adewuya &amp; Oguntade, 2007)</w:t>
      </w:r>
      <w:r w:rsidR="001B56A1" w:rsidRPr="004A782C">
        <w:rPr>
          <w:color w:val="000000" w:themeColor="text1"/>
        </w:rPr>
        <w:fldChar w:fldCharType="end"/>
      </w:r>
      <w:r w:rsidRPr="004A782C">
        <w:rPr>
          <w:color w:val="000000" w:themeColor="text1"/>
        </w:rPr>
        <w:t xml:space="preserve"> </w:t>
      </w:r>
    </w:p>
    <w:p w14:paraId="103AC0C5" w14:textId="77777777" w:rsidR="009D6757" w:rsidRDefault="009D6757" w:rsidP="00B27EBA">
      <w:pPr>
        <w:spacing w:after="0"/>
        <w:contextualSpacing/>
        <w:jc w:val="both"/>
        <w:rPr>
          <w:rFonts w:eastAsiaTheme="majorEastAsia"/>
          <w:b/>
          <w:iCs/>
          <w:color w:val="000000" w:themeColor="text1"/>
        </w:rPr>
      </w:pPr>
      <w:bookmarkStart w:id="37" w:name="_Hlk108631509"/>
    </w:p>
    <w:p w14:paraId="09CF3E0B" w14:textId="32C37A62" w:rsidR="005B6932" w:rsidRPr="009D6757" w:rsidRDefault="009D6757" w:rsidP="00B27EBA">
      <w:pPr>
        <w:spacing w:after="0"/>
        <w:contextualSpacing/>
        <w:jc w:val="both"/>
        <w:rPr>
          <w:rFonts w:eastAsiaTheme="majorEastAsia"/>
          <w:b/>
          <w:iCs/>
          <w:color w:val="000000" w:themeColor="text1"/>
          <w:sz w:val="28"/>
          <w:szCs w:val="28"/>
        </w:rPr>
      </w:pPr>
      <w:r w:rsidRPr="009D6757">
        <w:rPr>
          <w:rFonts w:eastAsiaTheme="majorEastAsia"/>
          <w:b/>
          <w:iCs/>
          <w:color w:val="000000" w:themeColor="text1"/>
          <w:sz w:val="28"/>
          <w:szCs w:val="28"/>
        </w:rPr>
        <w:t xml:space="preserve">6. </w:t>
      </w:r>
      <w:r w:rsidR="005B6932" w:rsidRPr="009D6757">
        <w:rPr>
          <w:rFonts w:eastAsiaTheme="majorEastAsia"/>
          <w:b/>
          <w:iCs/>
          <w:color w:val="000000" w:themeColor="text1"/>
          <w:sz w:val="28"/>
          <w:szCs w:val="28"/>
        </w:rPr>
        <w:t>Conclusion</w:t>
      </w:r>
    </w:p>
    <w:p w14:paraId="610CCF2B" w14:textId="6E8BDA13" w:rsidR="00EA1C34" w:rsidRPr="004A782C" w:rsidRDefault="005B6932" w:rsidP="00B27EBA">
      <w:pPr>
        <w:spacing w:after="0"/>
        <w:ind w:firstLine="720"/>
        <w:contextualSpacing/>
        <w:jc w:val="both"/>
        <w:rPr>
          <w:bCs/>
          <w:color w:val="000000" w:themeColor="text1"/>
        </w:rPr>
      </w:pPr>
      <w:r w:rsidRPr="004A782C">
        <w:rPr>
          <w:rFonts w:eastAsiaTheme="majorEastAsia"/>
          <w:bCs/>
          <w:iCs/>
          <w:color w:val="000000" w:themeColor="text1"/>
        </w:rPr>
        <w:t>This study revealed generally unfavorable attitudes toward mental health problems among college students, with no significant differences across most demographic variables. However, students from private colleges reported significantly higher levels of internal shame than those from government institutions. These findings underscore the need for targeted awareness and intervention programs within academic settings to reduce stigma and promote mental health literacy.</w:t>
      </w:r>
    </w:p>
    <w:p w14:paraId="1C710486" w14:textId="77777777" w:rsidR="009D6757" w:rsidRDefault="009D6757" w:rsidP="00B27EBA">
      <w:pPr>
        <w:spacing w:after="0"/>
        <w:contextualSpacing/>
        <w:jc w:val="both"/>
        <w:rPr>
          <w:rFonts w:eastAsiaTheme="majorEastAsia"/>
          <w:b/>
          <w:iCs/>
          <w:color w:val="000000" w:themeColor="text1"/>
        </w:rPr>
      </w:pPr>
    </w:p>
    <w:p w14:paraId="40F9A471" w14:textId="46990DED" w:rsidR="00F15ABF" w:rsidRPr="009D6757" w:rsidRDefault="009D6757" w:rsidP="00B27EBA">
      <w:pPr>
        <w:spacing w:after="0"/>
        <w:contextualSpacing/>
        <w:jc w:val="both"/>
        <w:rPr>
          <w:rFonts w:eastAsiaTheme="majorEastAsia"/>
          <w:b/>
          <w:iCs/>
          <w:color w:val="000000" w:themeColor="text1"/>
          <w:sz w:val="28"/>
          <w:szCs w:val="28"/>
        </w:rPr>
      </w:pPr>
      <w:r w:rsidRPr="009D6757">
        <w:rPr>
          <w:rFonts w:eastAsiaTheme="majorEastAsia"/>
          <w:b/>
          <w:iCs/>
          <w:color w:val="000000" w:themeColor="text1"/>
          <w:sz w:val="28"/>
          <w:szCs w:val="28"/>
        </w:rPr>
        <w:t xml:space="preserve">7. </w:t>
      </w:r>
      <w:r w:rsidR="00A63674" w:rsidRPr="009D6757">
        <w:rPr>
          <w:rFonts w:eastAsiaTheme="majorEastAsia"/>
          <w:b/>
          <w:iCs/>
          <w:color w:val="000000" w:themeColor="text1"/>
          <w:sz w:val="28"/>
          <w:szCs w:val="28"/>
        </w:rPr>
        <w:t>Future direction</w:t>
      </w:r>
    </w:p>
    <w:p w14:paraId="374E8C44" w14:textId="49515658" w:rsidR="00544A83" w:rsidRPr="004A782C" w:rsidRDefault="005B6932" w:rsidP="00B27EBA">
      <w:pPr>
        <w:spacing w:after="0"/>
        <w:ind w:firstLine="720"/>
        <w:contextualSpacing/>
        <w:jc w:val="both"/>
        <w:rPr>
          <w:bCs/>
          <w:color w:val="000000" w:themeColor="text1"/>
        </w:rPr>
      </w:pPr>
      <w:r w:rsidRPr="004A782C">
        <w:rPr>
          <w:rFonts w:eastAsiaTheme="majorEastAsia"/>
          <w:bCs/>
          <w:iCs/>
          <w:color w:val="000000" w:themeColor="text1"/>
        </w:rPr>
        <w:t>Future research should include more diverse and representative samples, covering broader age groups, gender minorities, and individuals from rural and remote regions. Comparative studies across geographic and socio-educational contexts, along with larger sample sizes, will help deepen understanding and guide culturally appropriate interventions.</w:t>
      </w:r>
    </w:p>
    <w:bookmarkEnd w:id="37"/>
    <w:p w14:paraId="01CA6F00" w14:textId="506A5705" w:rsidR="001B56A1" w:rsidRPr="009D6757" w:rsidRDefault="001B56A1" w:rsidP="00B27EBA">
      <w:pPr>
        <w:widowControl w:val="0"/>
        <w:autoSpaceDE w:val="0"/>
        <w:autoSpaceDN w:val="0"/>
        <w:adjustRightInd w:val="0"/>
        <w:spacing w:after="0"/>
        <w:ind w:left="480" w:hanging="480"/>
        <w:contextualSpacing/>
        <w:jc w:val="both"/>
        <w:rPr>
          <w:rFonts w:eastAsia="Times New Roman"/>
          <w:b/>
          <w:bCs/>
          <w:color w:val="000000" w:themeColor="text1"/>
          <w:sz w:val="28"/>
          <w:szCs w:val="28"/>
          <w:lang w:bidi="ne-NP"/>
        </w:rPr>
      </w:pPr>
      <w:r w:rsidRPr="009D6757">
        <w:rPr>
          <w:rFonts w:eastAsia="Times New Roman"/>
          <w:b/>
          <w:bCs/>
          <w:color w:val="000000" w:themeColor="text1"/>
          <w:sz w:val="28"/>
          <w:szCs w:val="28"/>
          <w:lang w:bidi="ne-NP"/>
        </w:rPr>
        <w:lastRenderedPageBreak/>
        <w:t>References</w:t>
      </w:r>
    </w:p>
    <w:p w14:paraId="039668AF" w14:textId="029E646A" w:rsidR="00195CA3" w:rsidRPr="004A782C" w:rsidRDefault="001B56A1" w:rsidP="00B27EBA">
      <w:pPr>
        <w:pStyle w:val="ListParagraph"/>
        <w:widowControl w:val="0"/>
        <w:numPr>
          <w:ilvl w:val="0"/>
          <w:numId w:val="40"/>
        </w:numPr>
        <w:autoSpaceDE w:val="0"/>
        <w:autoSpaceDN w:val="0"/>
        <w:adjustRightInd w:val="0"/>
        <w:spacing w:after="0"/>
        <w:ind w:left="540" w:hanging="540"/>
        <w:jc w:val="both"/>
        <w:rPr>
          <w:noProof/>
        </w:rPr>
      </w:pPr>
      <w:r w:rsidRPr="004A782C">
        <w:rPr>
          <w:rFonts w:eastAsia="Times New Roman"/>
          <w:b/>
          <w:bCs/>
          <w:color w:val="00B0F0"/>
          <w:lang w:bidi="ne-NP"/>
        </w:rPr>
        <w:fldChar w:fldCharType="begin" w:fldLock="1"/>
      </w:r>
      <w:r w:rsidRPr="009D6757">
        <w:rPr>
          <w:rFonts w:eastAsia="Times New Roman"/>
          <w:b/>
          <w:bCs/>
          <w:color w:val="00B0F0"/>
          <w:lang w:bidi="ne-NP"/>
        </w:rPr>
        <w:instrText xml:space="preserve">ADDIN Mendeley Bibliography CSL_BIBLIOGRAPHY </w:instrText>
      </w:r>
      <w:r w:rsidRPr="004A782C">
        <w:rPr>
          <w:rFonts w:eastAsia="Times New Roman"/>
          <w:b/>
          <w:bCs/>
          <w:color w:val="00B0F0"/>
          <w:lang w:bidi="ne-NP"/>
        </w:rPr>
        <w:fldChar w:fldCharType="separate"/>
      </w:r>
      <w:r w:rsidR="00195CA3" w:rsidRPr="004A782C">
        <w:rPr>
          <w:noProof/>
        </w:rPr>
        <w:t xml:space="preserve">Abolfotouh, M. A., Almutairi, A. F., Almutairi, Z., Salam, M., Alhashem, A., Adlan, A. A., &amp; Modayfer, O. (2019). Attitudes toward mental illness, mentally ill persons, and help-seeking among the Saudi public and sociodemographic correlates. </w:t>
      </w:r>
      <w:r w:rsidR="00195CA3" w:rsidRPr="009D6757">
        <w:rPr>
          <w:i/>
          <w:iCs/>
          <w:noProof/>
        </w:rPr>
        <w:t>Psychology Research and Behavior Management</w:t>
      </w:r>
      <w:r w:rsidR="00195CA3" w:rsidRPr="004A782C">
        <w:rPr>
          <w:noProof/>
        </w:rPr>
        <w:t xml:space="preserve">, </w:t>
      </w:r>
      <w:r w:rsidR="00195CA3" w:rsidRPr="009D6757">
        <w:rPr>
          <w:i/>
          <w:iCs/>
          <w:noProof/>
        </w:rPr>
        <w:t>12</w:t>
      </w:r>
      <w:r w:rsidR="00195CA3" w:rsidRPr="004A782C">
        <w:rPr>
          <w:noProof/>
        </w:rPr>
        <w:t>, 45–54. https://doi.org/10.2147/PRBM.S191676</w:t>
      </w:r>
    </w:p>
    <w:p w14:paraId="3C3ABF51"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Adewuya, A. O., &amp; Oguntade, A. A. (2007). Doctors’ attitude towards people with mental illness in Western Nigeria. </w:t>
      </w:r>
      <w:r w:rsidRPr="009D6757">
        <w:rPr>
          <w:i/>
          <w:iCs/>
          <w:noProof/>
        </w:rPr>
        <w:t>Soc Psychiatry Psychiatr Epidemiol</w:t>
      </w:r>
      <w:r w:rsidRPr="004A782C">
        <w:rPr>
          <w:noProof/>
        </w:rPr>
        <w:t xml:space="preserve">, </w:t>
      </w:r>
      <w:r w:rsidRPr="009D6757">
        <w:rPr>
          <w:i/>
          <w:iCs/>
          <w:noProof/>
        </w:rPr>
        <w:t>42</w:t>
      </w:r>
      <w:r w:rsidRPr="004A782C">
        <w:rPr>
          <w:noProof/>
        </w:rPr>
        <w:t>(11), 931–936. https://doi.org/10.1007/s00127-007-0246-4</w:t>
      </w:r>
    </w:p>
    <w:p w14:paraId="34CA53AE"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Al-Adawi, S., Dorvlo, A. S. S., Al-Ismaily, S. S., Alghafry, D. A., Al-Noobi, B. Z., Al-Salmi, A., Burke, D. T., Shah, M. K., Ghassany, H., &amp; Chand, S. P. (2002). Perception of and attitude towards mental illness in Oman. </w:t>
      </w:r>
      <w:r w:rsidRPr="009D6757">
        <w:rPr>
          <w:i/>
          <w:iCs/>
          <w:noProof/>
        </w:rPr>
        <w:t>International Journal of Social Psychiatry</w:t>
      </w:r>
      <w:r w:rsidRPr="004A782C">
        <w:rPr>
          <w:noProof/>
        </w:rPr>
        <w:t xml:space="preserve">, </w:t>
      </w:r>
      <w:r w:rsidRPr="009D6757">
        <w:rPr>
          <w:i/>
          <w:iCs/>
          <w:noProof/>
        </w:rPr>
        <w:t>48</w:t>
      </w:r>
      <w:r w:rsidRPr="004A782C">
        <w:rPr>
          <w:noProof/>
        </w:rPr>
        <w:t>(4), 305–317. https://doi.org/10.1177/002076402128783334</w:t>
      </w:r>
    </w:p>
    <w:p w14:paraId="50F8F81A"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Al-Atram, A. A. (2018). Physicians’ Knowledge and Attitude towards Mental Health in Saudi Arabia. </w:t>
      </w:r>
      <w:r w:rsidRPr="009D6757">
        <w:rPr>
          <w:i/>
          <w:iCs/>
          <w:noProof/>
        </w:rPr>
        <w:t>Ethiopian Journal of Health Sciences</w:t>
      </w:r>
      <w:r w:rsidRPr="004A782C">
        <w:rPr>
          <w:noProof/>
        </w:rPr>
        <w:t xml:space="preserve">, </w:t>
      </w:r>
      <w:r w:rsidRPr="009D6757">
        <w:rPr>
          <w:i/>
          <w:iCs/>
          <w:noProof/>
        </w:rPr>
        <w:t>28</w:t>
      </w:r>
      <w:r w:rsidRPr="004A782C">
        <w:rPr>
          <w:noProof/>
        </w:rPr>
        <w:t>, 771–778. https://doi.org/10.4314/ejhs.v28i6.12</w:t>
      </w:r>
    </w:p>
    <w:p w14:paraId="7A52D8A1"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Andrade, G., Bedewy, D., Elamin, A. B. A., Abdelmonem, K. Y. A., Teir, H. J., &amp; Alqaderi, N. (2022). Attitudes towards mental health problems in a sample of United Arab Emirates’ residents. </w:t>
      </w:r>
      <w:r w:rsidRPr="009D6757">
        <w:rPr>
          <w:i/>
          <w:iCs/>
          <w:noProof/>
        </w:rPr>
        <w:t>Middle East Current Psychiatry</w:t>
      </w:r>
      <w:r w:rsidRPr="004A782C">
        <w:rPr>
          <w:noProof/>
        </w:rPr>
        <w:t xml:space="preserve">, </w:t>
      </w:r>
      <w:r w:rsidRPr="009D6757">
        <w:rPr>
          <w:i/>
          <w:iCs/>
          <w:noProof/>
        </w:rPr>
        <w:t>29</w:t>
      </w:r>
      <w:r w:rsidRPr="004A782C">
        <w:rPr>
          <w:noProof/>
        </w:rPr>
        <w:t>(1), 2–6. https://doi.org/10.1186/s43045-022-00255-4</w:t>
      </w:r>
    </w:p>
    <w:p w14:paraId="574D9ADD"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Baziga, V., Gasovya, A., &amp; Uwingabire, F. (2019). Community health workers’ attitude towards people with mental illness: potential challenge of maternal mental health services in a selected health centre, Ruhengeri Hospital in Rwanda. </w:t>
      </w:r>
      <w:r w:rsidRPr="009D6757">
        <w:rPr>
          <w:i/>
          <w:iCs/>
          <w:noProof/>
        </w:rPr>
        <w:t>Rwanda J Med Health Sci</w:t>
      </w:r>
      <w:r w:rsidRPr="004A782C">
        <w:rPr>
          <w:noProof/>
        </w:rPr>
        <w:t xml:space="preserve">, </w:t>
      </w:r>
      <w:r w:rsidRPr="009D6757">
        <w:rPr>
          <w:i/>
          <w:iCs/>
          <w:noProof/>
        </w:rPr>
        <w:t>2</w:t>
      </w:r>
      <w:r w:rsidRPr="004A782C">
        <w:rPr>
          <w:noProof/>
        </w:rPr>
        <w:t>(3), 220–229. https://doi.org/10.4314/rjmhs.v2i3.3</w:t>
      </w:r>
    </w:p>
    <w:p w14:paraId="573AEC39"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Bennett, J., &amp; Stennett, R. (2015). Attitudes towards mental illness of nursing students in a Baccalaureate programme in Jamaica: A questionnaire survey. </w:t>
      </w:r>
      <w:r w:rsidRPr="009D6757">
        <w:rPr>
          <w:i/>
          <w:iCs/>
          <w:noProof/>
        </w:rPr>
        <w:t>Journal of Psychiatric and Mental Health Nursing</w:t>
      </w:r>
      <w:r w:rsidRPr="004A782C">
        <w:rPr>
          <w:noProof/>
        </w:rPr>
        <w:t xml:space="preserve">, </w:t>
      </w:r>
      <w:r w:rsidRPr="009D6757">
        <w:rPr>
          <w:i/>
          <w:iCs/>
          <w:noProof/>
        </w:rPr>
        <w:t>22</w:t>
      </w:r>
      <w:r w:rsidRPr="004A782C">
        <w:rPr>
          <w:noProof/>
        </w:rPr>
        <w:t>(8), 599–605. https://doi.org/10.1111/jpm.12234</w:t>
      </w:r>
    </w:p>
    <w:p w14:paraId="0A851BAE"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Branscombe, Nyla R.; Baron, R. A. (2017). </w:t>
      </w:r>
      <w:r w:rsidRPr="009D6757">
        <w:rPr>
          <w:i/>
          <w:iCs/>
          <w:noProof/>
        </w:rPr>
        <w:t>Social Psychology</w:t>
      </w:r>
      <w:r w:rsidRPr="004A782C">
        <w:rPr>
          <w:noProof/>
        </w:rPr>
        <w:t xml:space="preserve"> (First Impr). Pearson India Education Services Pvt.Ltd.</w:t>
      </w:r>
    </w:p>
    <w:p w14:paraId="2F8394F0"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Cabral Master, J. M., Barreto Carvalho, C. M. de O., Motta, C. D., Sousa, M. C., &amp; Gilbert, P. (2016). Attitudes towards mental health problems scale: Confirmatory factor analysis and validation in the Portuguese population. </w:t>
      </w:r>
      <w:r w:rsidRPr="009D6757">
        <w:rPr>
          <w:i/>
          <w:iCs/>
          <w:noProof/>
        </w:rPr>
        <w:t>American Journal of Psychiatric Rehabilitation</w:t>
      </w:r>
      <w:r w:rsidRPr="004A782C">
        <w:rPr>
          <w:noProof/>
        </w:rPr>
        <w:t xml:space="preserve">, </w:t>
      </w:r>
      <w:r w:rsidRPr="009D6757">
        <w:rPr>
          <w:i/>
          <w:iCs/>
          <w:noProof/>
        </w:rPr>
        <w:t>19</w:t>
      </w:r>
      <w:r w:rsidRPr="004A782C">
        <w:rPr>
          <w:noProof/>
        </w:rPr>
        <w:t>(3), 206–222. https://doi.org/10.1080/15487768.2016.1197860</w:t>
      </w:r>
    </w:p>
    <w:p w14:paraId="65F593E7"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Doumit, C. A., Haddad, C., Sacre, H., Salameh, P., Akel, M., Obeid, S., Akiki, M., Mattar, E., Hilal, N., Hallit, S., &amp; Soufia, M. (2019). Knowledge, attitude and behaviors towards patients with mental illness: Results from a national Lebanese study. </w:t>
      </w:r>
      <w:r w:rsidRPr="009D6757">
        <w:rPr>
          <w:i/>
          <w:iCs/>
          <w:noProof/>
        </w:rPr>
        <w:t>PLoS ONE</w:t>
      </w:r>
      <w:r w:rsidRPr="004A782C">
        <w:rPr>
          <w:noProof/>
        </w:rPr>
        <w:t>. https://doi.org/10.1371/journal.pone.0222172</w:t>
      </w:r>
    </w:p>
    <w:p w14:paraId="1937E128"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Felman, A. (2020). </w:t>
      </w:r>
      <w:r w:rsidRPr="009D6757">
        <w:rPr>
          <w:i/>
          <w:iCs/>
          <w:noProof/>
        </w:rPr>
        <w:t>Mental health: Definition, common disorders, early signs, and more</w:t>
      </w:r>
      <w:r w:rsidRPr="004A782C">
        <w:rPr>
          <w:noProof/>
        </w:rPr>
        <w:t>. https://www.medicalnewstoday.com/articles/154543</w:t>
      </w:r>
    </w:p>
    <w:p w14:paraId="0FC58603"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Fleck, C. (2015). Attitude: History of Concept. </w:t>
      </w:r>
      <w:r w:rsidRPr="009D6757">
        <w:rPr>
          <w:i/>
          <w:iCs/>
          <w:noProof/>
        </w:rPr>
        <w:t>International Encyclopedia of the Social &amp; Behavioral Sciences: Second Edition</w:t>
      </w:r>
      <w:r w:rsidRPr="004A782C">
        <w:rPr>
          <w:noProof/>
        </w:rPr>
        <w:t xml:space="preserve">, </w:t>
      </w:r>
      <w:r w:rsidRPr="009D6757">
        <w:rPr>
          <w:i/>
          <w:iCs/>
          <w:noProof/>
        </w:rPr>
        <w:t>November</w:t>
      </w:r>
      <w:r w:rsidRPr="004A782C">
        <w:rPr>
          <w:noProof/>
        </w:rPr>
        <w:t>, 175–177. https://doi.org/10.1016/B978-0-08-097086-8.03146-9</w:t>
      </w:r>
    </w:p>
    <w:p w14:paraId="27B2E9B2"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Gilbert, P., Bhundia, R., Mitra, R., McEwan, K., Irons, C., &amp; Sanghera, J. (2007). Cultural </w:t>
      </w:r>
      <w:r w:rsidRPr="004A782C">
        <w:rPr>
          <w:noProof/>
        </w:rPr>
        <w:lastRenderedPageBreak/>
        <w:t xml:space="preserve">differences in shame-focused attitudes towards mental health problems in Asian and non-Asian student women. </w:t>
      </w:r>
      <w:r w:rsidRPr="009D6757">
        <w:rPr>
          <w:i/>
          <w:iCs/>
          <w:noProof/>
        </w:rPr>
        <w:t>Mental Health, Religion and Culture</w:t>
      </w:r>
      <w:r w:rsidRPr="004A782C">
        <w:rPr>
          <w:noProof/>
        </w:rPr>
        <w:t xml:space="preserve">, </w:t>
      </w:r>
      <w:r w:rsidRPr="009D6757">
        <w:rPr>
          <w:i/>
          <w:iCs/>
          <w:noProof/>
        </w:rPr>
        <w:t>10</w:t>
      </w:r>
      <w:r w:rsidRPr="004A782C">
        <w:rPr>
          <w:noProof/>
        </w:rPr>
        <w:t>(2), 127–141. https://doi.org/10.1080/13694670500415124</w:t>
      </w:r>
    </w:p>
    <w:p w14:paraId="15BC2BE1"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Gilbert, P., Gilbert, J., &amp; Sanghera, J. (2004). A focus group exploration of the impact of izzat, shame, subordination and entrapment on mental health and service use in South Asian women living in Derby. </w:t>
      </w:r>
      <w:r w:rsidRPr="009D6757">
        <w:rPr>
          <w:i/>
          <w:iCs/>
          <w:noProof/>
        </w:rPr>
        <w:t>Mental Health, Religion and Culture</w:t>
      </w:r>
      <w:r w:rsidRPr="004A782C">
        <w:rPr>
          <w:noProof/>
        </w:rPr>
        <w:t xml:space="preserve">, </w:t>
      </w:r>
      <w:r w:rsidRPr="009D6757">
        <w:rPr>
          <w:i/>
          <w:iCs/>
          <w:noProof/>
        </w:rPr>
        <w:t>7</w:t>
      </w:r>
      <w:r w:rsidRPr="004A782C">
        <w:rPr>
          <w:noProof/>
        </w:rPr>
        <w:t>(2), 109–130. https://doi.org/10.1080/13674670310001602418</w:t>
      </w:r>
    </w:p>
    <w:p w14:paraId="6EEC24E3"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Jalan, R. (2018). Attitudes of Undergraduate Medical Students towards the Persons with Mental Illness in a Medical College of Western Region of Nepal. </w:t>
      </w:r>
      <w:r w:rsidRPr="009D6757">
        <w:rPr>
          <w:i/>
          <w:iCs/>
          <w:noProof/>
        </w:rPr>
        <w:t>Journal of Nepalgunj Medical College</w:t>
      </w:r>
      <w:r w:rsidRPr="004A782C">
        <w:rPr>
          <w:noProof/>
        </w:rPr>
        <w:t xml:space="preserve">, </w:t>
      </w:r>
      <w:r w:rsidRPr="009D6757">
        <w:rPr>
          <w:i/>
          <w:iCs/>
          <w:noProof/>
        </w:rPr>
        <w:t>16</w:t>
      </w:r>
      <w:r w:rsidRPr="004A782C">
        <w:rPr>
          <w:noProof/>
        </w:rPr>
        <w:t>(1), 48–53. https://doi.org/10.3126/jngmc.v16i1.24230</w:t>
      </w:r>
    </w:p>
    <w:p w14:paraId="7450039C"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Jha, P., &amp; Mandal, P. K. (2021). Knowledge And Attitude On Mental Illness Among People Of A Selected Community Of Biratnagar. </w:t>
      </w:r>
      <w:r w:rsidRPr="009D6757">
        <w:rPr>
          <w:i/>
          <w:iCs/>
          <w:noProof/>
        </w:rPr>
        <w:t>Journal of Psychiatrists’ Association of Nepal</w:t>
      </w:r>
      <w:r w:rsidRPr="004A782C">
        <w:rPr>
          <w:noProof/>
        </w:rPr>
        <w:t xml:space="preserve">, </w:t>
      </w:r>
      <w:r w:rsidRPr="009D6757">
        <w:rPr>
          <w:i/>
          <w:iCs/>
          <w:noProof/>
        </w:rPr>
        <w:t>10</w:t>
      </w:r>
      <w:r w:rsidRPr="004A782C">
        <w:rPr>
          <w:noProof/>
        </w:rPr>
        <w:t>(1), 43–49. https://doi.org/10.3126/jpan.v10i1.40347</w:t>
      </w:r>
    </w:p>
    <w:p w14:paraId="3CA76E49"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Jyothi, N. U., Bollu, M., Ali, S. F., Chaitanya, D. S., &amp; Mounika, S. (2015). A questionnaire survey on student’s attitudes towards individuals with mental illness. </w:t>
      </w:r>
      <w:r w:rsidRPr="009D6757">
        <w:rPr>
          <w:i/>
          <w:iCs/>
          <w:noProof/>
        </w:rPr>
        <w:t>Journal of Pharmaceutical Sciences and Research</w:t>
      </w:r>
      <w:r w:rsidRPr="004A782C">
        <w:rPr>
          <w:noProof/>
        </w:rPr>
        <w:t xml:space="preserve">, </w:t>
      </w:r>
      <w:r w:rsidRPr="009D6757">
        <w:rPr>
          <w:i/>
          <w:iCs/>
          <w:noProof/>
        </w:rPr>
        <w:t>7</w:t>
      </w:r>
      <w:r w:rsidRPr="004A782C">
        <w:rPr>
          <w:noProof/>
        </w:rPr>
        <w:t>(7), 393–396.</w:t>
      </w:r>
    </w:p>
    <w:p w14:paraId="7E3EAEAC"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Laqua, C., Hahn, E., Böge, K., Martensen, L. K., Nguyen, T. D., Schomerus, G., Cao, T. D., Dettling, M., von Poser, A., Lanca, J. C., Diefenbacher, A., Angermeyer, M. C., &amp; Ta, T. M. T. (2018). Public attitude towards restrictions on persons with mental illness in greater Hanoi area, Vietnam. </w:t>
      </w:r>
      <w:r w:rsidRPr="009D6757">
        <w:rPr>
          <w:i/>
          <w:iCs/>
          <w:noProof/>
        </w:rPr>
        <w:t>International Journal of Social Psychiatry</w:t>
      </w:r>
      <w:r w:rsidRPr="004A782C">
        <w:rPr>
          <w:noProof/>
        </w:rPr>
        <w:t xml:space="preserve">, </w:t>
      </w:r>
      <w:r w:rsidRPr="009D6757">
        <w:rPr>
          <w:i/>
          <w:iCs/>
          <w:noProof/>
        </w:rPr>
        <w:t>64</w:t>
      </w:r>
      <w:r w:rsidRPr="004A782C">
        <w:rPr>
          <w:noProof/>
        </w:rPr>
        <w:t>(4), 335–343. https://doi.org/10.1177/0020764018763685</w:t>
      </w:r>
    </w:p>
    <w:p w14:paraId="45BFF99D"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Lauber, C., &amp; Rössler, W. (2007). Stigma towards people with mental illness in developing countries in Asia. </w:t>
      </w:r>
      <w:r w:rsidRPr="009D6757">
        <w:rPr>
          <w:i/>
          <w:iCs/>
          <w:noProof/>
        </w:rPr>
        <w:t>International Review of Psychiatry</w:t>
      </w:r>
      <w:r w:rsidRPr="004A782C">
        <w:rPr>
          <w:noProof/>
        </w:rPr>
        <w:t xml:space="preserve">, </w:t>
      </w:r>
      <w:r w:rsidRPr="009D6757">
        <w:rPr>
          <w:i/>
          <w:iCs/>
          <w:noProof/>
        </w:rPr>
        <w:t>19</w:t>
      </w:r>
      <w:r w:rsidRPr="004A782C">
        <w:rPr>
          <w:noProof/>
        </w:rPr>
        <w:t>(2), 157–178. https://doi.org/10.1080/09540260701278903</w:t>
      </w:r>
    </w:p>
    <w:p w14:paraId="70D7E30F"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Lee, H. Y., Hwang, J., Ball, J. G., Lee, J., Yu, Y., &amp; Albright, D. L. (2020). Mental health literacy affects mental health attitude: Is there a gender difference? </w:t>
      </w:r>
      <w:r w:rsidRPr="009D6757">
        <w:rPr>
          <w:i/>
          <w:iCs/>
          <w:noProof/>
        </w:rPr>
        <w:t>American Journal of Health Behavior</w:t>
      </w:r>
      <w:r w:rsidRPr="004A782C">
        <w:rPr>
          <w:noProof/>
        </w:rPr>
        <w:t xml:space="preserve">, </w:t>
      </w:r>
      <w:r w:rsidRPr="009D6757">
        <w:rPr>
          <w:i/>
          <w:iCs/>
          <w:noProof/>
        </w:rPr>
        <w:t>44</w:t>
      </w:r>
      <w:r w:rsidRPr="004A782C">
        <w:rPr>
          <w:noProof/>
        </w:rPr>
        <w:t>(3), 283–291. https://doi.org/10.5993/AJHB.44.3.1</w:t>
      </w:r>
    </w:p>
    <w:p w14:paraId="252EAD4A"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Lopez, V., Sanchez, K., Killian, M. O., &amp; Eghaneyan, B. H. (2018). Depression screening and education: An examination of mental health literacy and stigma in a sample of Hispanic women. </w:t>
      </w:r>
      <w:r w:rsidRPr="009D6757">
        <w:rPr>
          <w:i/>
          <w:iCs/>
          <w:noProof/>
        </w:rPr>
        <w:t>BMC Public Health</w:t>
      </w:r>
      <w:r w:rsidRPr="004A782C">
        <w:rPr>
          <w:noProof/>
        </w:rPr>
        <w:t xml:space="preserve">, </w:t>
      </w:r>
      <w:r w:rsidRPr="009D6757">
        <w:rPr>
          <w:i/>
          <w:iCs/>
          <w:noProof/>
        </w:rPr>
        <w:t>18</w:t>
      </w:r>
      <w:r w:rsidRPr="004A782C">
        <w:rPr>
          <w:noProof/>
        </w:rPr>
        <w:t>(1), 1–8. https://doi.org/10.1186/s12889-018-5516-4</w:t>
      </w:r>
    </w:p>
    <w:p w14:paraId="0ABAA6A9"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Maharjan, S., &amp; Panthee, B. (2019). Prevalence of self-stigma and its association with self-esteem among psychiatric patients in a Nepalese teaching hospital: A cross-sectional study. </w:t>
      </w:r>
      <w:r w:rsidRPr="009D6757">
        <w:rPr>
          <w:i/>
          <w:iCs/>
          <w:noProof/>
        </w:rPr>
        <w:t>BMC Psychiatry</w:t>
      </w:r>
      <w:r w:rsidRPr="004A782C">
        <w:rPr>
          <w:noProof/>
        </w:rPr>
        <w:t xml:space="preserve">, </w:t>
      </w:r>
      <w:r w:rsidRPr="009D6757">
        <w:rPr>
          <w:i/>
          <w:iCs/>
          <w:noProof/>
        </w:rPr>
        <w:t>19</w:t>
      </w:r>
      <w:r w:rsidRPr="004A782C">
        <w:rPr>
          <w:noProof/>
        </w:rPr>
        <w:t>(1), 1–8. https://doi.org/10.1186/s12888-019-2344-8</w:t>
      </w:r>
    </w:p>
    <w:p w14:paraId="35984C68"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Nepal, S., Rayamajhi, A., Shrestha, M., &amp; Aryal, N. (2020). Attitude of Senior Secondary Level Students towards Mental Illness. </w:t>
      </w:r>
      <w:r w:rsidRPr="009D6757">
        <w:rPr>
          <w:i/>
          <w:iCs/>
          <w:noProof/>
        </w:rPr>
        <w:t>Journal of Psychiatrists’ Association of Nepal</w:t>
      </w:r>
      <w:r w:rsidRPr="004A782C">
        <w:rPr>
          <w:noProof/>
        </w:rPr>
        <w:t xml:space="preserve">, </w:t>
      </w:r>
      <w:r w:rsidRPr="009D6757">
        <w:rPr>
          <w:i/>
          <w:iCs/>
          <w:noProof/>
        </w:rPr>
        <w:t>9</w:t>
      </w:r>
      <w:r w:rsidRPr="004A782C">
        <w:rPr>
          <w:noProof/>
        </w:rPr>
        <w:t>(1), 47–52. https://doi.org/10.3126/jpan.v9i1.31337</w:t>
      </w:r>
    </w:p>
    <w:p w14:paraId="2EB7EF4C"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Neupane, D., Dhakal, S., Thapa, S., Bhandari, P. M., &amp; Mishra, S. R. (2016). Caregivers’ attitude towards people with mental illness and perceived stigma: A cross- sectional study in a tertiary hospital in Nepal. </w:t>
      </w:r>
      <w:r w:rsidRPr="009D6757">
        <w:rPr>
          <w:i/>
          <w:iCs/>
          <w:noProof/>
        </w:rPr>
        <w:t>PLoS ONE</w:t>
      </w:r>
      <w:r w:rsidRPr="004A782C">
        <w:rPr>
          <w:noProof/>
        </w:rPr>
        <w:t xml:space="preserve">, </w:t>
      </w:r>
      <w:r w:rsidRPr="009D6757">
        <w:rPr>
          <w:i/>
          <w:iCs/>
          <w:noProof/>
        </w:rPr>
        <w:t>11</w:t>
      </w:r>
      <w:r w:rsidRPr="004A782C">
        <w:rPr>
          <w:noProof/>
        </w:rPr>
        <w:t>(6), 1–12. https://doi.org/10.1371/journal.pone.0158113</w:t>
      </w:r>
    </w:p>
    <w:p w14:paraId="61641551"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Pokharel, B., &amp; Pokharel, A. (2017). Perceived stigma towards mental illness among college students of western Nepal. </w:t>
      </w:r>
      <w:r w:rsidRPr="009D6757">
        <w:rPr>
          <w:i/>
          <w:iCs/>
          <w:noProof/>
        </w:rPr>
        <w:t>Birat Journal of Health Sciences</w:t>
      </w:r>
      <w:r w:rsidRPr="004A782C">
        <w:rPr>
          <w:noProof/>
        </w:rPr>
        <w:t xml:space="preserve">, </w:t>
      </w:r>
      <w:r w:rsidRPr="009D6757">
        <w:rPr>
          <w:i/>
          <w:iCs/>
          <w:noProof/>
        </w:rPr>
        <w:t>2</w:t>
      </w:r>
      <w:r w:rsidRPr="004A782C">
        <w:rPr>
          <w:noProof/>
        </w:rPr>
        <w:t>(3), 292–295. https://www.nepjol.info/index.php/bjhs/article/view/18946/15487</w:t>
      </w:r>
    </w:p>
    <w:p w14:paraId="5792B50B"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lastRenderedPageBreak/>
        <w:t xml:space="preserve">Poudel, D. B., Dhakal, S., &amp; Khatri, B. B. (2025). Review Articles Attitudes Towards Mental Health Problems : A Scoping Review. </w:t>
      </w:r>
      <w:r w:rsidRPr="009D6757">
        <w:rPr>
          <w:i/>
          <w:iCs/>
          <w:noProof/>
        </w:rPr>
        <w:t>Birat Journal of Helath Sciences</w:t>
      </w:r>
      <w:r w:rsidRPr="004A782C">
        <w:rPr>
          <w:noProof/>
        </w:rPr>
        <w:t xml:space="preserve">, </w:t>
      </w:r>
      <w:r w:rsidRPr="009D6757">
        <w:rPr>
          <w:i/>
          <w:iCs/>
          <w:noProof/>
        </w:rPr>
        <w:t>9</w:t>
      </w:r>
      <w:r w:rsidRPr="004A782C">
        <w:rPr>
          <w:noProof/>
        </w:rPr>
        <w:t>(2), 3–13. https://bjhs.com.np/bjhs/index.php/bjhs/article/view/523/533</w:t>
      </w:r>
    </w:p>
    <w:p w14:paraId="32384110"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Poudel, D. B., Sharif, L. S., Acharya, S., Mahsoon, A., Sharif, K., &amp; Wright, R. (2024). Mental health literacy and attitudes towards mental health problems among college students, Nepal. </w:t>
      </w:r>
      <w:r w:rsidRPr="009D6757">
        <w:rPr>
          <w:i/>
          <w:iCs/>
          <w:noProof/>
        </w:rPr>
        <w:t>Behavioral Sciences</w:t>
      </w:r>
      <w:r w:rsidRPr="004A782C">
        <w:rPr>
          <w:noProof/>
        </w:rPr>
        <w:t xml:space="preserve">, </w:t>
      </w:r>
      <w:r w:rsidRPr="009D6757">
        <w:rPr>
          <w:i/>
          <w:iCs/>
          <w:noProof/>
        </w:rPr>
        <w:t>14</w:t>
      </w:r>
      <w:r w:rsidRPr="004A782C">
        <w:rPr>
          <w:noProof/>
        </w:rPr>
        <w:t>(12), 1–18. https://doi.org/10.3390/bs14121189</w:t>
      </w:r>
    </w:p>
    <w:p w14:paraId="3324C307"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Prasai, A., Sharma, S. C., Rijal, R., &amp; Shreeyanta, K. C. (2018). Attitude towards mental illness among medical students and interns of a medical college. </w:t>
      </w:r>
      <w:r w:rsidRPr="009D6757">
        <w:rPr>
          <w:i/>
          <w:iCs/>
          <w:noProof/>
        </w:rPr>
        <w:t>Journal of the Nepal Medical Association</w:t>
      </w:r>
      <w:r w:rsidRPr="004A782C">
        <w:rPr>
          <w:noProof/>
        </w:rPr>
        <w:t xml:space="preserve">, </w:t>
      </w:r>
      <w:r w:rsidRPr="009D6757">
        <w:rPr>
          <w:i/>
          <w:iCs/>
          <w:noProof/>
        </w:rPr>
        <w:t>56</w:t>
      </w:r>
      <w:r w:rsidRPr="004A782C">
        <w:rPr>
          <w:noProof/>
        </w:rPr>
        <w:t>(213), 837–841. https://doi.org/10.31729/jnma.3716</w:t>
      </w:r>
    </w:p>
    <w:p w14:paraId="245AB092"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Risal, A., Sharma, P. P., &amp; Sanjel, S. (2013). Attitude toward mental illness and psychiatry among the medical students and interns in a medical college. </w:t>
      </w:r>
      <w:r w:rsidRPr="009D6757">
        <w:rPr>
          <w:i/>
          <w:iCs/>
          <w:noProof/>
        </w:rPr>
        <w:t>Journal of the Nepal Medical Association</w:t>
      </w:r>
      <w:r w:rsidRPr="004A782C">
        <w:rPr>
          <w:noProof/>
        </w:rPr>
        <w:t xml:space="preserve">, </w:t>
      </w:r>
      <w:r w:rsidRPr="009D6757">
        <w:rPr>
          <w:i/>
          <w:iCs/>
          <w:noProof/>
        </w:rPr>
        <w:t>52</w:t>
      </w:r>
      <w:r w:rsidRPr="004A782C">
        <w:rPr>
          <w:noProof/>
        </w:rPr>
        <w:t>(6), 322–331. https://doi.org/10.31729/jnma.703</w:t>
      </w:r>
    </w:p>
    <w:p w14:paraId="4634A063"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Sahile, Y., Yitayih, S., Yeshanew, B., Ayelegne, D., &amp; Mihiretu, A. (2019). Primary health care nurses attitude towards people with severe mental disorders in Addis Ababa, Ethiopia: A cross sectional study. </w:t>
      </w:r>
      <w:r w:rsidRPr="009D6757">
        <w:rPr>
          <w:i/>
          <w:iCs/>
          <w:noProof/>
        </w:rPr>
        <w:t>Int J Ment Health Syst</w:t>
      </w:r>
      <w:r w:rsidRPr="004A782C">
        <w:rPr>
          <w:noProof/>
        </w:rPr>
        <w:t xml:space="preserve">, </w:t>
      </w:r>
      <w:r w:rsidRPr="009D6757">
        <w:rPr>
          <w:i/>
          <w:iCs/>
          <w:noProof/>
        </w:rPr>
        <w:t>13</w:t>
      </w:r>
      <w:r w:rsidRPr="004A782C">
        <w:rPr>
          <w:noProof/>
        </w:rPr>
        <w:t>(1), 1–8. https://doi.org/10.1186/s13033-019-0283-x</w:t>
      </w:r>
    </w:p>
    <w:p w14:paraId="6BF9DD83"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Salve, H., Goswami, K., Sagar, R., Nongkynrih, B., &amp; Sreenivas, V. (2013). Perception and attitude towards mental illness in an urban community in South Delhi - A community based study. </w:t>
      </w:r>
      <w:r w:rsidRPr="009D6757">
        <w:rPr>
          <w:i/>
          <w:iCs/>
          <w:noProof/>
        </w:rPr>
        <w:t>Indian Journal of Psychological Medicine</w:t>
      </w:r>
      <w:r w:rsidRPr="004A782C">
        <w:rPr>
          <w:noProof/>
        </w:rPr>
        <w:t xml:space="preserve">, </w:t>
      </w:r>
      <w:r w:rsidRPr="009D6757">
        <w:rPr>
          <w:i/>
          <w:iCs/>
          <w:noProof/>
        </w:rPr>
        <w:t>35</w:t>
      </w:r>
      <w:r w:rsidRPr="004A782C">
        <w:rPr>
          <w:noProof/>
        </w:rPr>
        <w:t>(2), 154–158. https://doi.org/10.4103/0253-7176.116244</w:t>
      </w:r>
    </w:p>
    <w:p w14:paraId="6BB3EBD7"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Shahif, S., Idris, D. R., Lupat, A., &amp; Abdul Rahman, H. (2019). Knowledge and attitude towards mental illness among primary healthcare nurses in Brunei: A cross-sectional study. </w:t>
      </w:r>
      <w:r w:rsidRPr="009D6757">
        <w:rPr>
          <w:i/>
          <w:iCs/>
          <w:noProof/>
        </w:rPr>
        <w:t>Asian Journal of Psychiatry</w:t>
      </w:r>
      <w:r w:rsidRPr="004A782C">
        <w:rPr>
          <w:noProof/>
        </w:rPr>
        <w:t xml:space="preserve">, </w:t>
      </w:r>
      <w:r w:rsidRPr="009D6757">
        <w:rPr>
          <w:i/>
          <w:iCs/>
          <w:noProof/>
        </w:rPr>
        <w:t>45</w:t>
      </w:r>
      <w:r w:rsidRPr="004A782C">
        <w:rPr>
          <w:noProof/>
        </w:rPr>
        <w:t>(April), 33–37. https://doi.org/10.1016/j.ajp.2019.08.013</w:t>
      </w:r>
    </w:p>
    <w:p w14:paraId="706B7DAE"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Singh, B., Singh, R., &amp; Singh, K. K. (2013). Knowledge and Attitude towards Mental Health and Mental Illness: An Issue among Rural and Urban Community of Jhapa District of Nepal. </w:t>
      </w:r>
      <w:r w:rsidRPr="009D6757">
        <w:rPr>
          <w:i/>
          <w:iCs/>
          <w:noProof/>
        </w:rPr>
        <w:t>International Journal of Health Sciences and Research</w:t>
      </w:r>
      <w:r w:rsidRPr="004A782C">
        <w:rPr>
          <w:noProof/>
        </w:rPr>
        <w:t xml:space="preserve">, </w:t>
      </w:r>
      <w:r w:rsidRPr="009D6757">
        <w:rPr>
          <w:i/>
          <w:iCs/>
          <w:noProof/>
        </w:rPr>
        <w:t>3</w:t>
      </w:r>
      <w:r w:rsidRPr="004A782C">
        <w:rPr>
          <w:noProof/>
        </w:rPr>
        <w:t>(9), 29–34. https://www.researchgate.net/publication/336263360</w:t>
      </w:r>
    </w:p>
    <w:p w14:paraId="66C16FAC"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Taylor, S. M., &amp; Dear, M. J. (1981). Scaling community attitudes toward the mentally ill. </w:t>
      </w:r>
      <w:r w:rsidRPr="009D6757">
        <w:rPr>
          <w:i/>
          <w:iCs/>
          <w:noProof/>
        </w:rPr>
        <w:t>Schizophrenia Bulletin</w:t>
      </w:r>
      <w:r w:rsidRPr="004A782C">
        <w:rPr>
          <w:noProof/>
        </w:rPr>
        <w:t xml:space="preserve">, </w:t>
      </w:r>
      <w:r w:rsidRPr="009D6757">
        <w:rPr>
          <w:i/>
          <w:iCs/>
          <w:noProof/>
        </w:rPr>
        <w:t>7</w:t>
      </w:r>
      <w:r w:rsidRPr="004A782C">
        <w:rPr>
          <w:noProof/>
        </w:rPr>
        <w:t>(2), 225–240. https://doi.org/10.1093/schbul/7.2.225</w:t>
      </w:r>
    </w:p>
    <w:p w14:paraId="25E6163E"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Thake, A. (2014). </w:t>
      </w:r>
      <w:r w:rsidRPr="009D6757">
        <w:rPr>
          <w:i/>
          <w:iCs/>
          <w:noProof/>
        </w:rPr>
        <w:t>Factors influencing beliefs about mental health difficulties and attitudes towards seeking help amongst Nepalese people in the United Kingdom</w:t>
      </w:r>
      <w:r w:rsidRPr="004A782C">
        <w:rPr>
          <w:noProof/>
        </w:rPr>
        <w:t xml:space="preserve">. </w:t>
      </w:r>
      <w:r w:rsidRPr="009D6757">
        <w:rPr>
          <w:i/>
          <w:iCs/>
          <w:noProof/>
        </w:rPr>
        <w:t>1</w:t>
      </w:r>
      <w:r w:rsidRPr="004A782C">
        <w:rPr>
          <w:noProof/>
        </w:rPr>
        <w:t>(October).</w:t>
      </w:r>
    </w:p>
    <w:p w14:paraId="06F00C90"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World Health Organization. (2001). </w:t>
      </w:r>
      <w:r w:rsidRPr="009D6757">
        <w:rPr>
          <w:i/>
          <w:iCs/>
          <w:noProof/>
        </w:rPr>
        <w:t>The World health report : 2001 : Mental health : new understanding, new hope</w:t>
      </w:r>
      <w:r w:rsidRPr="004A782C">
        <w:rPr>
          <w:noProof/>
        </w:rPr>
        <w:t>. https://apps.who.int/iris/handle/10665/42390</w:t>
      </w:r>
    </w:p>
    <w:p w14:paraId="421EA117"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Younis, M. S., Anwer, A. H., &amp; Hussain, H. Y. (2020). Stigmatising attitude and reflections towards mental illness at community setting, population-based approach, Baghdad City 2020. </w:t>
      </w:r>
      <w:r w:rsidRPr="009D6757">
        <w:rPr>
          <w:i/>
          <w:iCs/>
          <w:noProof/>
        </w:rPr>
        <w:t>International Journal of Social Psychiatry</w:t>
      </w:r>
      <w:r w:rsidRPr="004A782C">
        <w:rPr>
          <w:noProof/>
        </w:rPr>
        <w:t xml:space="preserve">, </w:t>
      </w:r>
      <w:r w:rsidRPr="009D6757">
        <w:rPr>
          <w:i/>
          <w:iCs/>
          <w:noProof/>
        </w:rPr>
        <w:t>67</w:t>
      </w:r>
      <w:r w:rsidRPr="004A782C">
        <w:rPr>
          <w:noProof/>
        </w:rPr>
        <w:t>(5), 461–466. https://doi.org/10.1177/0020764020961797</w:t>
      </w:r>
    </w:p>
    <w:p w14:paraId="2C16D2B6" w14:textId="77777777" w:rsidR="00195CA3" w:rsidRPr="004A782C" w:rsidRDefault="00195CA3" w:rsidP="00B27EBA">
      <w:pPr>
        <w:pStyle w:val="ListParagraph"/>
        <w:widowControl w:val="0"/>
        <w:numPr>
          <w:ilvl w:val="0"/>
          <w:numId w:val="40"/>
        </w:numPr>
        <w:autoSpaceDE w:val="0"/>
        <w:autoSpaceDN w:val="0"/>
        <w:adjustRightInd w:val="0"/>
        <w:spacing w:after="0"/>
        <w:ind w:left="540" w:hanging="540"/>
        <w:jc w:val="both"/>
        <w:rPr>
          <w:noProof/>
        </w:rPr>
      </w:pPr>
      <w:r w:rsidRPr="004A782C">
        <w:rPr>
          <w:noProof/>
        </w:rPr>
        <w:t xml:space="preserve">Yuan, Q., Abdin, E., Picco, L., Vaingankar, J. A., Shahwan, S., Jeyagurunathan, A., Sagayadevan, V., Shafie, S., Tay, J., Chong, S. A., &amp; Subramaniam, M. (2016). Attitudes to mental illness and its demographic correlates among general population in Singapore. </w:t>
      </w:r>
      <w:r w:rsidRPr="009D6757">
        <w:rPr>
          <w:i/>
          <w:iCs/>
          <w:noProof/>
        </w:rPr>
        <w:t>PLoS ONE</w:t>
      </w:r>
      <w:r w:rsidRPr="004A782C">
        <w:rPr>
          <w:noProof/>
        </w:rPr>
        <w:t xml:space="preserve">, </w:t>
      </w:r>
      <w:r w:rsidRPr="009D6757">
        <w:rPr>
          <w:i/>
          <w:iCs/>
          <w:noProof/>
        </w:rPr>
        <w:t>11</w:t>
      </w:r>
      <w:r w:rsidRPr="004A782C">
        <w:rPr>
          <w:noProof/>
        </w:rPr>
        <w:t>(11), 1–13. https://doi.org/10.1371/journal.pone.0167297</w:t>
      </w:r>
    </w:p>
    <w:p w14:paraId="684143C7" w14:textId="5376AE13" w:rsidR="002C004B" w:rsidRPr="004A782C" w:rsidRDefault="001B56A1" w:rsidP="00B27EBA">
      <w:pPr>
        <w:widowControl w:val="0"/>
        <w:autoSpaceDE w:val="0"/>
        <w:autoSpaceDN w:val="0"/>
        <w:adjustRightInd w:val="0"/>
        <w:spacing w:after="0"/>
        <w:ind w:left="540" w:hanging="540"/>
        <w:contextualSpacing/>
        <w:jc w:val="both"/>
        <w:rPr>
          <w:rFonts w:eastAsia="Times New Roman"/>
          <w:b/>
          <w:bCs/>
          <w:color w:val="00B0F0"/>
          <w:lang w:bidi="ne-NP"/>
        </w:rPr>
      </w:pPr>
      <w:r w:rsidRPr="004A782C">
        <w:rPr>
          <w:rFonts w:eastAsia="Times New Roman"/>
          <w:b/>
          <w:bCs/>
          <w:color w:val="00B0F0"/>
          <w:lang w:bidi="ne-NP"/>
        </w:rPr>
        <w:fldChar w:fldCharType="end"/>
      </w:r>
    </w:p>
    <w:sectPr w:rsidR="002C004B" w:rsidRPr="004A782C" w:rsidSect="00524E04">
      <w:footerReference w:type="default" r:id="rId10"/>
      <w:headerReference w:type="first" r:id="rId11"/>
      <w:footerReference w:type="first" r:id="rId12"/>
      <w:pgSz w:w="11906" w:h="16838" w:code="9"/>
      <w:pgMar w:top="1440" w:right="1440" w:bottom="1440" w:left="1440" w:header="720" w:footer="720" w:gutter="0"/>
      <w:pgNumType w:start="1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F243D" w14:textId="77777777" w:rsidR="00741233" w:rsidRDefault="00741233">
      <w:pPr>
        <w:spacing w:after="0" w:line="240" w:lineRule="auto"/>
      </w:pPr>
      <w:r>
        <w:separator/>
      </w:r>
    </w:p>
  </w:endnote>
  <w:endnote w:type="continuationSeparator" w:id="0">
    <w:p w14:paraId="653EF5F1" w14:textId="77777777" w:rsidR="00741233" w:rsidRDefault="0074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487344"/>
      <w:docPartObj>
        <w:docPartGallery w:val="Page Numbers (Bottom of Page)"/>
        <w:docPartUnique/>
      </w:docPartObj>
    </w:sdtPr>
    <w:sdtEndPr>
      <w:rPr>
        <w:noProof/>
      </w:rPr>
    </w:sdtEndPr>
    <w:sdtContent>
      <w:p w14:paraId="59270FC7" w14:textId="59CBFF80" w:rsidR="00524E04" w:rsidRDefault="00524E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7BD946" w14:textId="77777777" w:rsidR="00524E04" w:rsidRDefault="0052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DDB7" w14:textId="77777777" w:rsidR="009D6757" w:rsidRPr="009D6757" w:rsidRDefault="009D6757" w:rsidP="009D6757">
    <w:pPr>
      <w:tabs>
        <w:tab w:val="center" w:pos="4680"/>
        <w:tab w:val="right" w:pos="9360"/>
      </w:tabs>
      <w:spacing w:after="0" w:line="240" w:lineRule="auto"/>
      <w:jc w:val="right"/>
      <w:rPr>
        <w:rFonts w:eastAsia="Calibri"/>
        <w:noProof/>
      </w:rPr>
    </w:pPr>
    <w:r w:rsidRPr="009D6757">
      <w:rPr>
        <w:rFonts w:eastAsia="Calibri"/>
      </w:rPr>
      <w:fldChar w:fldCharType="begin"/>
    </w:r>
    <w:r w:rsidRPr="009D6757">
      <w:rPr>
        <w:rFonts w:eastAsia="Calibri"/>
      </w:rPr>
      <w:instrText xml:space="preserve"> PAGE   \* MERGEFORMAT </w:instrText>
    </w:r>
    <w:r w:rsidRPr="009D6757">
      <w:rPr>
        <w:rFonts w:eastAsia="Calibri"/>
      </w:rPr>
      <w:fldChar w:fldCharType="separate"/>
    </w:r>
    <w:r w:rsidRPr="009D6757">
      <w:rPr>
        <w:rFonts w:eastAsia="Calibri"/>
      </w:rPr>
      <w:t>119</w:t>
    </w:r>
    <w:r w:rsidRPr="009D6757">
      <w:rPr>
        <w:rFonts w:eastAsia="Calibri"/>
        <w:noProof/>
      </w:rPr>
      <w:fldChar w:fldCharType="end"/>
    </w:r>
  </w:p>
  <w:p w14:paraId="71B12180" w14:textId="23372B84" w:rsidR="009D6757" w:rsidRDefault="009D6757" w:rsidP="009D6757">
    <w:pPr>
      <w:tabs>
        <w:tab w:val="center" w:pos="4680"/>
        <w:tab w:val="right" w:pos="9360"/>
      </w:tabs>
      <w:spacing w:after="0" w:line="240" w:lineRule="auto"/>
    </w:pPr>
    <w:r w:rsidRPr="009D6757">
      <w:rPr>
        <w:rFonts w:eastAsia="Calibri" w:cs="Mangal"/>
        <w:sz w:val="20"/>
        <w:szCs w:val="20"/>
      </w:rPr>
      <w:t>©2025 The Author(s).</w:t>
    </w:r>
    <w:r w:rsidRPr="009D6757">
      <w:rPr>
        <w:rFonts w:eastAsia="Calibri" w:cs="Mangal"/>
        <w:noProof/>
        <w:sz w:val="20"/>
        <w:szCs w:val="20"/>
      </w:rPr>
      <w:drawing>
        <wp:anchor distT="0" distB="0" distL="114300" distR="114300" simplePos="0" relativeHeight="251662336" behindDoc="1" locked="0" layoutInCell="1" allowOverlap="1" wp14:anchorId="67A6987E" wp14:editId="7D35194C">
          <wp:simplePos x="0" y="0"/>
          <wp:positionH relativeFrom="column">
            <wp:posOffset>-57150</wp:posOffset>
          </wp:positionH>
          <wp:positionV relativeFrom="paragraph">
            <wp:posOffset>-74930</wp:posOffset>
          </wp:positionV>
          <wp:extent cx="909955" cy="317500"/>
          <wp:effectExtent l="0" t="0" r="4445" b="6350"/>
          <wp:wrapTight wrapText="bothSides">
            <wp:wrapPolygon edited="0">
              <wp:start x="0" y="0"/>
              <wp:lineTo x="0" y="20736"/>
              <wp:lineTo x="21253" y="20736"/>
              <wp:lineTo x="21253" y="0"/>
              <wp:lineTo x="0" y="0"/>
            </wp:wrapPolygon>
          </wp:wrapTight>
          <wp:docPr id="15" name="Picture 15" descr="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317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A291A" w14:textId="77777777" w:rsidR="00741233" w:rsidRDefault="00741233">
      <w:pPr>
        <w:spacing w:after="0" w:line="240" w:lineRule="auto"/>
      </w:pPr>
      <w:r>
        <w:separator/>
      </w:r>
    </w:p>
  </w:footnote>
  <w:footnote w:type="continuationSeparator" w:id="0">
    <w:p w14:paraId="4464392A" w14:textId="77777777" w:rsidR="00741233" w:rsidRDefault="00741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CF3B" w14:textId="77777777" w:rsidR="009D6757" w:rsidRPr="009D6757" w:rsidRDefault="009D6757" w:rsidP="009D6757">
    <w:pPr>
      <w:spacing w:after="0" w:line="240" w:lineRule="auto"/>
      <w:ind w:left="1080" w:hanging="1080"/>
      <w:contextualSpacing/>
      <w:rPr>
        <w:rFonts w:eastAsia="SimSun"/>
        <w:b/>
        <w:bCs/>
        <w:iCs/>
        <w:sz w:val="28"/>
        <w:szCs w:val="28"/>
        <w:lang w:bidi="ne-NP"/>
      </w:rPr>
    </w:pPr>
    <w:r w:rsidRPr="009D6757">
      <w:rPr>
        <w:rFonts w:eastAsia="SimSun"/>
        <w:noProof/>
        <w:sz w:val="20"/>
        <w:szCs w:val="18"/>
        <w:lang w:bidi="ne-NP"/>
      </w:rPr>
      <w:drawing>
        <wp:anchor distT="0" distB="0" distL="114300" distR="114300" simplePos="0" relativeHeight="251660288" behindDoc="0" locked="0" layoutInCell="1" allowOverlap="1" wp14:anchorId="296039D2" wp14:editId="6B97045A">
          <wp:simplePos x="0" y="0"/>
          <wp:positionH relativeFrom="column">
            <wp:posOffset>5600700</wp:posOffset>
          </wp:positionH>
          <wp:positionV relativeFrom="page">
            <wp:posOffset>266700</wp:posOffset>
          </wp:positionV>
          <wp:extent cx="114300" cy="1809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757">
      <w:rPr>
        <w:rFonts w:eastAsia="SimSun"/>
        <w:noProof/>
        <w:sz w:val="20"/>
        <w:szCs w:val="18"/>
        <w:lang w:bidi="ne-NP"/>
      </w:rPr>
      <w:drawing>
        <wp:anchor distT="0" distB="0" distL="114300" distR="114300" simplePos="0" relativeHeight="251659264" behindDoc="0" locked="0" layoutInCell="1" allowOverlap="1" wp14:anchorId="1B8EF373" wp14:editId="561E34E7">
          <wp:simplePos x="0" y="0"/>
          <wp:positionH relativeFrom="margin">
            <wp:posOffset>-9525</wp:posOffset>
          </wp:positionH>
          <wp:positionV relativeFrom="paragraph">
            <wp:posOffset>-55245</wp:posOffset>
          </wp:positionV>
          <wp:extent cx="581660" cy="548640"/>
          <wp:effectExtent l="0" t="0" r="8890" b="3810"/>
          <wp:wrapSquare wrapText="bothSides"/>
          <wp:docPr id="8" name="Picture 8" descr="IRJM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RJMM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757">
      <w:rPr>
        <w:rFonts w:eastAsia="SimSun"/>
        <w:b/>
        <w:bCs/>
        <w:iCs/>
        <w:sz w:val="28"/>
        <w:szCs w:val="28"/>
        <w:lang w:bidi="ne-NP"/>
      </w:rPr>
      <w:t>International Research Journal of MMC (IRJMMC)</w:t>
    </w:r>
  </w:p>
  <w:p w14:paraId="1B54C568" w14:textId="77777777" w:rsidR="009D6757" w:rsidRPr="009D6757" w:rsidRDefault="009D6757" w:rsidP="009D6757">
    <w:pPr>
      <w:spacing w:after="0" w:line="240" w:lineRule="auto"/>
      <w:contextualSpacing/>
      <w:rPr>
        <w:rFonts w:eastAsia="SimSun"/>
        <w:b/>
        <w:bCs/>
        <w:sz w:val="20"/>
        <w:szCs w:val="20"/>
        <w:lang w:bidi="ne-NP"/>
      </w:rPr>
    </w:pPr>
    <w:r w:rsidRPr="009D6757">
      <w:rPr>
        <w:rFonts w:eastAsia="SimSun"/>
        <w:b/>
        <w:bCs/>
        <w:sz w:val="20"/>
        <w:szCs w:val="20"/>
        <w:lang w:bidi="ne-NP"/>
      </w:rPr>
      <w:t>ISSN</w:t>
    </w:r>
    <w:r w:rsidRPr="009D6757">
      <w:rPr>
        <w:rFonts w:eastAsia="SimSun"/>
        <w:b/>
        <w:bCs/>
        <w:sz w:val="22"/>
        <w:szCs w:val="20"/>
        <w:lang w:bidi="ne-NP"/>
      </w:rPr>
      <w:t xml:space="preserve"> </w:t>
    </w:r>
    <w:r w:rsidRPr="009D6757">
      <w:rPr>
        <w:rFonts w:eastAsia="SimSun"/>
        <w:b/>
        <w:bCs/>
        <w:sz w:val="20"/>
        <w:szCs w:val="20"/>
        <w:lang w:bidi="ne-NP"/>
      </w:rPr>
      <w:t>2717-4999</w:t>
    </w:r>
    <w:r w:rsidRPr="009D6757">
      <w:rPr>
        <w:rFonts w:eastAsia="SimSun"/>
        <w:b/>
        <w:bCs/>
        <w:sz w:val="22"/>
        <w:szCs w:val="20"/>
        <w:lang w:bidi="ne-NP"/>
      </w:rPr>
      <w:t xml:space="preserve"> </w:t>
    </w:r>
    <w:r w:rsidRPr="009D6757">
      <w:rPr>
        <w:rFonts w:eastAsia="SimSun"/>
        <w:b/>
        <w:bCs/>
        <w:sz w:val="20"/>
        <w:szCs w:val="20"/>
        <w:lang w:bidi="ne-NP"/>
      </w:rPr>
      <w:t>(Online) | 2717-4980 (Print)</w:t>
    </w:r>
  </w:p>
  <w:p w14:paraId="4026B0E1" w14:textId="57C65389" w:rsidR="009D6757" w:rsidRDefault="009D6757" w:rsidP="009D6757">
    <w:pPr>
      <w:spacing w:after="0" w:line="240" w:lineRule="auto"/>
      <w:ind w:left="1080"/>
      <w:contextualSpacing/>
      <w:rPr>
        <w:rFonts w:eastAsia="SimSun"/>
        <w:b/>
        <w:bCs/>
        <w:sz w:val="20"/>
        <w:szCs w:val="20"/>
        <w:lang w:bidi="ne-NP"/>
      </w:rPr>
    </w:pPr>
    <w:r w:rsidRPr="009D6757">
      <w:rPr>
        <w:rFonts w:eastAsia="SimSun"/>
        <w:b/>
        <w:bCs/>
        <w:sz w:val="20"/>
        <w:szCs w:val="20"/>
        <w:lang w:bidi="ne-NP"/>
      </w:rPr>
      <w:t>Volume 6, Issue 2 │ June 2025</w:t>
    </w:r>
  </w:p>
  <w:p w14:paraId="6E7F9652" w14:textId="2FB6B9AE" w:rsidR="00BF4F7A" w:rsidRDefault="00BF4F7A" w:rsidP="009D6757">
    <w:pPr>
      <w:spacing w:after="0" w:line="240" w:lineRule="auto"/>
      <w:ind w:left="1080"/>
      <w:contextualSpacing/>
      <w:rPr>
        <w:rFonts w:ascii="Yu Mincho" w:eastAsia="Yu Mincho" w:hAnsi="Yu Mincho" w:cs="Yu Mincho"/>
        <w:sz w:val="21"/>
        <w:szCs w:val="21"/>
      </w:rPr>
    </w:pPr>
  </w:p>
  <w:p w14:paraId="0FFE25A6" w14:textId="77777777" w:rsidR="00BF4F7A" w:rsidRPr="009D6757" w:rsidRDefault="00BF4F7A" w:rsidP="009D6757">
    <w:pPr>
      <w:spacing w:after="0" w:line="240" w:lineRule="auto"/>
      <w:ind w:left="1080"/>
      <w:contextualSpacing/>
      <w:rPr>
        <w:rFonts w:ascii="Yu Mincho" w:eastAsia="Yu Mincho" w:hAnsi="Yu Mincho" w:cs="Yu Mincho"/>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9C4"/>
    <w:multiLevelType w:val="hybridMultilevel"/>
    <w:tmpl w:val="58483B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6EB9"/>
    <w:multiLevelType w:val="hybridMultilevel"/>
    <w:tmpl w:val="754C6CE4"/>
    <w:lvl w:ilvl="0" w:tplc="E95C303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C17DE"/>
    <w:multiLevelType w:val="multilevel"/>
    <w:tmpl w:val="B1FE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C736F"/>
    <w:multiLevelType w:val="hybridMultilevel"/>
    <w:tmpl w:val="32DC7256"/>
    <w:lvl w:ilvl="0" w:tplc="19F42AD2">
      <w:start w:val="1"/>
      <w:numFmt w:val="decimal"/>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021AE"/>
    <w:multiLevelType w:val="hybridMultilevel"/>
    <w:tmpl w:val="09381C28"/>
    <w:lvl w:ilvl="0" w:tplc="E280D780">
      <w:start w:val="1"/>
      <w:numFmt w:val="upp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553ED"/>
    <w:multiLevelType w:val="hybridMultilevel"/>
    <w:tmpl w:val="ED6CD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3431E2"/>
    <w:multiLevelType w:val="hybridMultilevel"/>
    <w:tmpl w:val="B6126FF0"/>
    <w:lvl w:ilvl="0" w:tplc="383CC478">
      <w:start w:val="1"/>
      <w:numFmt w:val="upp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C0780"/>
    <w:multiLevelType w:val="hybridMultilevel"/>
    <w:tmpl w:val="D4508CDC"/>
    <w:lvl w:ilvl="0" w:tplc="5FA81F3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4385B"/>
    <w:multiLevelType w:val="hybridMultilevel"/>
    <w:tmpl w:val="3FD664C2"/>
    <w:lvl w:ilvl="0" w:tplc="1CF426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9B41425"/>
    <w:multiLevelType w:val="multilevel"/>
    <w:tmpl w:val="F27AC2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A73BB"/>
    <w:multiLevelType w:val="multilevel"/>
    <w:tmpl w:val="3CC8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C784F"/>
    <w:multiLevelType w:val="hybridMultilevel"/>
    <w:tmpl w:val="55588B7C"/>
    <w:lvl w:ilvl="0" w:tplc="8CA61F20">
      <w:start w:val="1"/>
      <w:numFmt w:val="upp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03393"/>
    <w:multiLevelType w:val="hybridMultilevel"/>
    <w:tmpl w:val="9AFE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025"/>
    <w:multiLevelType w:val="hybridMultilevel"/>
    <w:tmpl w:val="A07E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715"/>
    <w:multiLevelType w:val="hybridMultilevel"/>
    <w:tmpl w:val="C812F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B107F"/>
    <w:multiLevelType w:val="hybridMultilevel"/>
    <w:tmpl w:val="62EC500A"/>
    <w:lvl w:ilvl="0" w:tplc="FF224AC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E3D80"/>
    <w:multiLevelType w:val="hybridMultilevel"/>
    <w:tmpl w:val="ED80C572"/>
    <w:lvl w:ilvl="0" w:tplc="9640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4A40B9"/>
    <w:multiLevelType w:val="multilevel"/>
    <w:tmpl w:val="5D6C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D4E33"/>
    <w:multiLevelType w:val="hybridMultilevel"/>
    <w:tmpl w:val="CEB0AB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63148"/>
    <w:multiLevelType w:val="hybridMultilevel"/>
    <w:tmpl w:val="B8C0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C239C"/>
    <w:multiLevelType w:val="hybridMultilevel"/>
    <w:tmpl w:val="82B254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51DE0"/>
    <w:multiLevelType w:val="multilevel"/>
    <w:tmpl w:val="ACD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67556"/>
    <w:multiLevelType w:val="multilevel"/>
    <w:tmpl w:val="53CAEE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E03E4"/>
    <w:multiLevelType w:val="hybridMultilevel"/>
    <w:tmpl w:val="00566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AB3C83"/>
    <w:multiLevelType w:val="hybridMultilevel"/>
    <w:tmpl w:val="72BACC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679326E"/>
    <w:multiLevelType w:val="hybridMultilevel"/>
    <w:tmpl w:val="CBB8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FA564A"/>
    <w:multiLevelType w:val="hybridMultilevel"/>
    <w:tmpl w:val="392CE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743B6"/>
    <w:multiLevelType w:val="hybridMultilevel"/>
    <w:tmpl w:val="FE4EA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A5D86"/>
    <w:multiLevelType w:val="multilevel"/>
    <w:tmpl w:val="6F44E0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6273C1B"/>
    <w:multiLevelType w:val="hybridMultilevel"/>
    <w:tmpl w:val="309E87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8B111B8"/>
    <w:multiLevelType w:val="hybridMultilevel"/>
    <w:tmpl w:val="BFAE08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53E17"/>
    <w:multiLevelType w:val="hybridMultilevel"/>
    <w:tmpl w:val="6EB81028"/>
    <w:lvl w:ilvl="0" w:tplc="19F42AD2">
      <w:start w:val="1"/>
      <w:numFmt w:val="decimal"/>
      <w:lvlText w:val="%1."/>
      <w:lvlJc w:val="left"/>
      <w:pPr>
        <w:ind w:left="720" w:hanging="360"/>
      </w:pPr>
      <w:rPr>
        <w:rFonts w:hint="default"/>
        <w:color w:val="000000"/>
      </w:rPr>
    </w:lvl>
    <w:lvl w:ilvl="1" w:tplc="260CEE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B5549"/>
    <w:multiLevelType w:val="hybridMultilevel"/>
    <w:tmpl w:val="FED612D2"/>
    <w:lvl w:ilvl="0" w:tplc="1EBC6A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43175"/>
    <w:multiLevelType w:val="multilevel"/>
    <w:tmpl w:val="06AE8DC0"/>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A45F70"/>
    <w:multiLevelType w:val="hybridMultilevel"/>
    <w:tmpl w:val="4A60CA3A"/>
    <w:lvl w:ilvl="0" w:tplc="622C8D9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6686E"/>
    <w:multiLevelType w:val="hybridMultilevel"/>
    <w:tmpl w:val="0AE42F76"/>
    <w:lvl w:ilvl="0" w:tplc="CB38A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6253D6"/>
    <w:multiLevelType w:val="hybridMultilevel"/>
    <w:tmpl w:val="DE90D930"/>
    <w:lvl w:ilvl="0" w:tplc="04090019">
      <w:start w:val="1"/>
      <w:numFmt w:val="lowerLetter"/>
      <w:lvlText w:val="%1."/>
      <w:lvlJc w:val="left"/>
      <w:pPr>
        <w:ind w:left="1440" w:hanging="360"/>
      </w:pPr>
      <w:rPr>
        <w:rFonts w:hint="default"/>
        <w:color w:val="000000"/>
      </w:rPr>
    </w:lvl>
    <w:lvl w:ilvl="1" w:tplc="260CEE5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591C93"/>
    <w:multiLevelType w:val="hybridMultilevel"/>
    <w:tmpl w:val="BD6E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070DB"/>
    <w:multiLevelType w:val="hybridMultilevel"/>
    <w:tmpl w:val="FBAA3E90"/>
    <w:lvl w:ilvl="0" w:tplc="6946376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6"/>
  </w:num>
  <w:num w:numId="4">
    <w:abstractNumId w:val="35"/>
  </w:num>
  <w:num w:numId="5">
    <w:abstractNumId w:val="19"/>
  </w:num>
  <w:num w:numId="6">
    <w:abstractNumId w:val="32"/>
  </w:num>
  <w:num w:numId="7">
    <w:abstractNumId w:val="15"/>
  </w:num>
  <w:num w:numId="8">
    <w:abstractNumId w:val="1"/>
  </w:num>
  <w:num w:numId="9">
    <w:abstractNumId w:val="34"/>
  </w:num>
  <w:num w:numId="10">
    <w:abstractNumId w:val="13"/>
  </w:num>
  <w:num w:numId="1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0"/>
  </w:num>
  <w:num w:numId="14">
    <w:abstractNumId w:val="18"/>
  </w:num>
  <w:num w:numId="15">
    <w:abstractNumId w:val="38"/>
  </w:num>
  <w:num w:numId="16">
    <w:abstractNumId w:val="22"/>
  </w:num>
  <w:num w:numId="17">
    <w:abstractNumId w:val="9"/>
  </w:num>
  <w:num w:numId="18">
    <w:abstractNumId w:val="30"/>
  </w:num>
  <w:num w:numId="19">
    <w:abstractNumId w:val="33"/>
  </w:num>
  <w:num w:numId="20">
    <w:abstractNumId w:val="28"/>
  </w:num>
  <w:num w:numId="21">
    <w:abstractNumId w:val="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6"/>
  </w:num>
  <w:num w:numId="31">
    <w:abstractNumId w:val="21"/>
  </w:num>
  <w:num w:numId="32">
    <w:abstractNumId w:val="8"/>
  </w:num>
  <w:num w:numId="33">
    <w:abstractNumId w:val="31"/>
  </w:num>
  <w:num w:numId="34">
    <w:abstractNumId w:val="36"/>
  </w:num>
  <w:num w:numId="35">
    <w:abstractNumId w:val="24"/>
  </w:num>
  <w:num w:numId="36">
    <w:abstractNumId w:val="29"/>
  </w:num>
  <w:num w:numId="37">
    <w:abstractNumId w:val="14"/>
  </w:num>
  <w:num w:numId="38">
    <w:abstractNumId w:val="37"/>
  </w:num>
  <w:num w:numId="39">
    <w:abstractNumId w:val="2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MjQ3sjQytzAysDBS0lEKTi0uzszPAykwMqkFAKAE5i0tAAAA"/>
  </w:docVars>
  <w:rsids>
    <w:rsidRoot w:val="00AA32A4"/>
    <w:rsid w:val="0000599A"/>
    <w:rsid w:val="00007506"/>
    <w:rsid w:val="0000786C"/>
    <w:rsid w:val="00007EA2"/>
    <w:rsid w:val="000159DC"/>
    <w:rsid w:val="00015A3D"/>
    <w:rsid w:val="00017A94"/>
    <w:rsid w:val="000228CD"/>
    <w:rsid w:val="00024DC7"/>
    <w:rsid w:val="000268B7"/>
    <w:rsid w:val="00031796"/>
    <w:rsid w:val="00037903"/>
    <w:rsid w:val="00042FB3"/>
    <w:rsid w:val="000439CF"/>
    <w:rsid w:val="000456FD"/>
    <w:rsid w:val="00046864"/>
    <w:rsid w:val="00047966"/>
    <w:rsid w:val="00047EE6"/>
    <w:rsid w:val="000500A5"/>
    <w:rsid w:val="00052770"/>
    <w:rsid w:val="000542C9"/>
    <w:rsid w:val="000630DC"/>
    <w:rsid w:val="000658A3"/>
    <w:rsid w:val="00071D00"/>
    <w:rsid w:val="00073803"/>
    <w:rsid w:val="00074675"/>
    <w:rsid w:val="00082096"/>
    <w:rsid w:val="00091D98"/>
    <w:rsid w:val="00095333"/>
    <w:rsid w:val="000974E3"/>
    <w:rsid w:val="000B1313"/>
    <w:rsid w:val="000B59C0"/>
    <w:rsid w:val="000B6257"/>
    <w:rsid w:val="000C21B0"/>
    <w:rsid w:val="000C41FE"/>
    <w:rsid w:val="000C70CB"/>
    <w:rsid w:val="000D465E"/>
    <w:rsid w:val="000E1B4F"/>
    <w:rsid w:val="000E4FD9"/>
    <w:rsid w:val="000F0D06"/>
    <w:rsid w:val="000F185C"/>
    <w:rsid w:val="000F228A"/>
    <w:rsid w:val="000F3A49"/>
    <w:rsid w:val="000F6259"/>
    <w:rsid w:val="00104C62"/>
    <w:rsid w:val="00106329"/>
    <w:rsid w:val="00116DD7"/>
    <w:rsid w:val="00120569"/>
    <w:rsid w:val="00120B53"/>
    <w:rsid w:val="0012339D"/>
    <w:rsid w:val="00130DFC"/>
    <w:rsid w:val="00141B32"/>
    <w:rsid w:val="001454D5"/>
    <w:rsid w:val="00154E5E"/>
    <w:rsid w:val="0016618E"/>
    <w:rsid w:val="00180A05"/>
    <w:rsid w:val="00184945"/>
    <w:rsid w:val="00193366"/>
    <w:rsid w:val="00195CA3"/>
    <w:rsid w:val="00196392"/>
    <w:rsid w:val="001A2DB4"/>
    <w:rsid w:val="001B0F9F"/>
    <w:rsid w:val="001B32DE"/>
    <w:rsid w:val="001B56A1"/>
    <w:rsid w:val="001C3A1C"/>
    <w:rsid w:val="001C533F"/>
    <w:rsid w:val="001C6759"/>
    <w:rsid w:val="001D6717"/>
    <w:rsid w:val="001D6939"/>
    <w:rsid w:val="001D693E"/>
    <w:rsid w:val="001E2790"/>
    <w:rsid w:val="001E33F7"/>
    <w:rsid w:val="001F534E"/>
    <w:rsid w:val="001F6155"/>
    <w:rsid w:val="002019C4"/>
    <w:rsid w:val="00207A3B"/>
    <w:rsid w:val="00207D4A"/>
    <w:rsid w:val="00234B1A"/>
    <w:rsid w:val="00243E8F"/>
    <w:rsid w:val="00245F6D"/>
    <w:rsid w:val="00251764"/>
    <w:rsid w:val="00254B8F"/>
    <w:rsid w:val="002569F5"/>
    <w:rsid w:val="00264E60"/>
    <w:rsid w:val="002653C0"/>
    <w:rsid w:val="00266840"/>
    <w:rsid w:val="00266C39"/>
    <w:rsid w:val="00267C3B"/>
    <w:rsid w:val="002728A9"/>
    <w:rsid w:val="0027358F"/>
    <w:rsid w:val="0027398F"/>
    <w:rsid w:val="002751AA"/>
    <w:rsid w:val="002862C2"/>
    <w:rsid w:val="0029246E"/>
    <w:rsid w:val="00295943"/>
    <w:rsid w:val="002A1006"/>
    <w:rsid w:val="002A1049"/>
    <w:rsid w:val="002A2E96"/>
    <w:rsid w:val="002B05F4"/>
    <w:rsid w:val="002B24F3"/>
    <w:rsid w:val="002C004B"/>
    <w:rsid w:val="002C3B74"/>
    <w:rsid w:val="002C527B"/>
    <w:rsid w:val="002C7BB0"/>
    <w:rsid w:val="002D19A5"/>
    <w:rsid w:val="002D6052"/>
    <w:rsid w:val="002E36C6"/>
    <w:rsid w:val="002E6AF2"/>
    <w:rsid w:val="002F1A08"/>
    <w:rsid w:val="002F4B0D"/>
    <w:rsid w:val="00302219"/>
    <w:rsid w:val="00302251"/>
    <w:rsid w:val="003209B7"/>
    <w:rsid w:val="00323411"/>
    <w:rsid w:val="00323E11"/>
    <w:rsid w:val="00323F6D"/>
    <w:rsid w:val="00325296"/>
    <w:rsid w:val="00340976"/>
    <w:rsid w:val="0034610E"/>
    <w:rsid w:val="003511B3"/>
    <w:rsid w:val="00351427"/>
    <w:rsid w:val="0035154D"/>
    <w:rsid w:val="00363270"/>
    <w:rsid w:val="00370D4E"/>
    <w:rsid w:val="003711E3"/>
    <w:rsid w:val="003729D7"/>
    <w:rsid w:val="003736B1"/>
    <w:rsid w:val="00375C7D"/>
    <w:rsid w:val="00376127"/>
    <w:rsid w:val="00381369"/>
    <w:rsid w:val="00381897"/>
    <w:rsid w:val="00383A3E"/>
    <w:rsid w:val="0039181D"/>
    <w:rsid w:val="00392B46"/>
    <w:rsid w:val="00393292"/>
    <w:rsid w:val="00397337"/>
    <w:rsid w:val="0039757E"/>
    <w:rsid w:val="003A0ECF"/>
    <w:rsid w:val="003B0222"/>
    <w:rsid w:val="003B6C44"/>
    <w:rsid w:val="003B7509"/>
    <w:rsid w:val="003B7F2F"/>
    <w:rsid w:val="003C16D6"/>
    <w:rsid w:val="003C38E4"/>
    <w:rsid w:val="003D1578"/>
    <w:rsid w:val="003D5A5F"/>
    <w:rsid w:val="003D7084"/>
    <w:rsid w:val="003E2159"/>
    <w:rsid w:val="003E65B5"/>
    <w:rsid w:val="003F7350"/>
    <w:rsid w:val="003F7B12"/>
    <w:rsid w:val="0040024B"/>
    <w:rsid w:val="00412EBF"/>
    <w:rsid w:val="004135BD"/>
    <w:rsid w:val="004168EA"/>
    <w:rsid w:val="00416D08"/>
    <w:rsid w:val="004220DA"/>
    <w:rsid w:val="00426FCE"/>
    <w:rsid w:val="0043671D"/>
    <w:rsid w:val="0044102F"/>
    <w:rsid w:val="004514F0"/>
    <w:rsid w:val="004549B3"/>
    <w:rsid w:val="0045576F"/>
    <w:rsid w:val="00467855"/>
    <w:rsid w:val="00470D87"/>
    <w:rsid w:val="0047448C"/>
    <w:rsid w:val="00484322"/>
    <w:rsid w:val="004858A7"/>
    <w:rsid w:val="00493A61"/>
    <w:rsid w:val="00493D14"/>
    <w:rsid w:val="00496B7B"/>
    <w:rsid w:val="004A1100"/>
    <w:rsid w:val="004A2411"/>
    <w:rsid w:val="004A522D"/>
    <w:rsid w:val="004A782C"/>
    <w:rsid w:val="004B18AA"/>
    <w:rsid w:val="004B5AFA"/>
    <w:rsid w:val="004C1C7C"/>
    <w:rsid w:val="004C3900"/>
    <w:rsid w:val="004D423D"/>
    <w:rsid w:val="004E1907"/>
    <w:rsid w:val="004E1B43"/>
    <w:rsid w:val="004E2339"/>
    <w:rsid w:val="004E5330"/>
    <w:rsid w:val="004E67D1"/>
    <w:rsid w:val="004E715E"/>
    <w:rsid w:val="004F546E"/>
    <w:rsid w:val="00500BC6"/>
    <w:rsid w:val="00506A92"/>
    <w:rsid w:val="00506F37"/>
    <w:rsid w:val="005071A4"/>
    <w:rsid w:val="0051261C"/>
    <w:rsid w:val="00517C87"/>
    <w:rsid w:val="00524E04"/>
    <w:rsid w:val="00527617"/>
    <w:rsid w:val="00533764"/>
    <w:rsid w:val="005363E0"/>
    <w:rsid w:val="005400A7"/>
    <w:rsid w:val="00544A83"/>
    <w:rsid w:val="0054542D"/>
    <w:rsid w:val="00546C6B"/>
    <w:rsid w:val="0055053E"/>
    <w:rsid w:val="00556E8F"/>
    <w:rsid w:val="00561BF7"/>
    <w:rsid w:val="00562639"/>
    <w:rsid w:val="00564002"/>
    <w:rsid w:val="00564F3F"/>
    <w:rsid w:val="00571C6B"/>
    <w:rsid w:val="00571EFA"/>
    <w:rsid w:val="00573D92"/>
    <w:rsid w:val="005753DF"/>
    <w:rsid w:val="005755F4"/>
    <w:rsid w:val="0058529E"/>
    <w:rsid w:val="0058544A"/>
    <w:rsid w:val="00590CC0"/>
    <w:rsid w:val="00593152"/>
    <w:rsid w:val="00595CC5"/>
    <w:rsid w:val="00596CC7"/>
    <w:rsid w:val="005A152C"/>
    <w:rsid w:val="005A56FD"/>
    <w:rsid w:val="005A72AC"/>
    <w:rsid w:val="005B6932"/>
    <w:rsid w:val="005D0AB2"/>
    <w:rsid w:val="005D4319"/>
    <w:rsid w:val="005D64D5"/>
    <w:rsid w:val="005E65DD"/>
    <w:rsid w:val="005F3C04"/>
    <w:rsid w:val="005F7774"/>
    <w:rsid w:val="00601823"/>
    <w:rsid w:val="00603DB2"/>
    <w:rsid w:val="00604225"/>
    <w:rsid w:val="00610A14"/>
    <w:rsid w:val="00615776"/>
    <w:rsid w:val="006171B2"/>
    <w:rsid w:val="006224A0"/>
    <w:rsid w:val="0062282A"/>
    <w:rsid w:val="00622CD3"/>
    <w:rsid w:val="00624CF0"/>
    <w:rsid w:val="0062577C"/>
    <w:rsid w:val="00627E98"/>
    <w:rsid w:val="006322CB"/>
    <w:rsid w:val="006414E4"/>
    <w:rsid w:val="00642CEE"/>
    <w:rsid w:val="00643D84"/>
    <w:rsid w:val="00645092"/>
    <w:rsid w:val="00645CDC"/>
    <w:rsid w:val="00645D35"/>
    <w:rsid w:val="0065020F"/>
    <w:rsid w:val="00652AC4"/>
    <w:rsid w:val="00655237"/>
    <w:rsid w:val="006563E8"/>
    <w:rsid w:val="006607D4"/>
    <w:rsid w:val="00663483"/>
    <w:rsid w:val="0066696B"/>
    <w:rsid w:val="006738F2"/>
    <w:rsid w:val="006772AD"/>
    <w:rsid w:val="00684CE7"/>
    <w:rsid w:val="00684CF8"/>
    <w:rsid w:val="006904D8"/>
    <w:rsid w:val="006A02C3"/>
    <w:rsid w:val="006A1EAA"/>
    <w:rsid w:val="006B5967"/>
    <w:rsid w:val="006B60CD"/>
    <w:rsid w:val="006C18A9"/>
    <w:rsid w:val="006C47AB"/>
    <w:rsid w:val="006C65D3"/>
    <w:rsid w:val="006D05AA"/>
    <w:rsid w:val="006D1046"/>
    <w:rsid w:val="006D2083"/>
    <w:rsid w:val="006D288E"/>
    <w:rsid w:val="006D2D09"/>
    <w:rsid w:val="006D58F5"/>
    <w:rsid w:val="006D6A69"/>
    <w:rsid w:val="006D6E3A"/>
    <w:rsid w:val="006F76B4"/>
    <w:rsid w:val="00702CF4"/>
    <w:rsid w:val="0070378A"/>
    <w:rsid w:val="00704344"/>
    <w:rsid w:val="0070596D"/>
    <w:rsid w:val="00712FC4"/>
    <w:rsid w:val="007133D1"/>
    <w:rsid w:val="00715E3B"/>
    <w:rsid w:val="007172E7"/>
    <w:rsid w:val="007232C4"/>
    <w:rsid w:val="00735CA3"/>
    <w:rsid w:val="0073636B"/>
    <w:rsid w:val="00736EB2"/>
    <w:rsid w:val="0074042F"/>
    <w:rsid w:val="00741233"/>
    <w:rsid w:val="00743098"/>
    <w:rsid w:val="00750DE5"/>
    <w:rsid w:val="007551AC"/>
    <w:rsid w:val="00755318"/>
    <w:rsid w:val="00757A18"/>
    <w:rsid w:val="00760145"/>
    <w:rsid w:val="00766C33"/>
    <w:rsid w:val="007761A3"/>
    <w:rsid w:val="007825CF"/>
    <w:rsid w:val="007836A6"/>
    <w:rsid w:val="00783D6A"/>
    <w:rsid w:val="00787A32"/>
    <w:rsid w:val="007969E6"/>
    <w:rsid w:val="007B4F6E"/>
    <w:rsid w:val="007B5AB8"/>
    <w:rsid w:val="007B725D"/>
    <w:rsid w:val="007C0DA3"/>
    <w:rsid w:val="007C38E9"/>
    <w:rsid w:val="007C6F61"/>
    <w:rsid w:val="007C7201"/>
    <w:rsid w:val="007E4578"/>
    <w:rsid w:val="007F0E41"/>
    <w:rsid w:val="007F0F75"/>
    <w:rsid w:val="007F791F"/>
    <w:rsid w:val="00800246"/>
    <w:rsid w:val="0080068C"/>
    <w:rsid w:val="00800F32"/>
    <w:rsid w:val="00810E69"/>
    <w:rsid w:val="00817A1F"/>
    <w:rsid w:val="00830912"/>
    <w:rsid w:val="00832CF1"/>
    <w:rsid w:val="008349BB"/>
    <w:rsid w:val="00836FA3"/>
    <w:rsid w:val="00837A18"/>
    <w:rsid w:val="00840982"/>
    <w:rsid w:val="00841790"/>
    <w:rsid w:val="00843111"/>
    <w:rsid w:val="0084321A"/>
    <w:rsid w:val="008452E9"/>
    <w:rsid w:val="00851639"/>
    <w:rsid w:val="00852040"/>
    <w:rsid w:val="0085229E"/>
    <w:rsid w:val="00853490"/>
    <w:rsid w:val="0085596E"/>
    <w:rsid w:val="008560A5"/>
    <w:rsid w:val="00856E43"/>
    <w:rsid w:val="00861274"/>
    <w:rsid w:val="00861B61"/>
    <w:rsid w:val="00861EB3"/>
    <w:rsid w:val="008628F7"/>
    <w:rsid w:val="0086311C"/>
    <w:rsid w:val="008638EA"/>
    <w:rsid w:val="00867C80"/>
    <w:rsid w:val="008703DB"/>
    <w:rsid w:val="008737B9"/>
    <w:rsid w:val="008757B0"/>
    <w:rsid w:val="00876186"/>
    <w:rsid w:val="0089148D"/>
    <w:rsid w:val="0089519F"/>
    <w:rsid w:val="008A3F39"/>
    <w:rsid w:val="008B2F19"/>
    <w:rsid w:val="008B3515"/>
    <w:rsid w:val="008B3DCF"/>
    <w:rsid w:val="008B6543"/>
    <w:rsid w:val="008B65E4"/>
    <w:rsid w:val="008C0039"/>
    <w:rsid w:val="008D0255"/>
    <w:rsid w:val="008D1DD0"/>
    <w:rsid w:val="008D633C"/>
    <w:rsid w:val="008E4EC1"/>
    <w:rsid w:val="008F1197"/>
    <w:rsid w:val="008F194F"/>
    <w:rsid w:val="00903793"/>
    <w:rsid w:val="009122A4"/>
    <w:rsid w:val="0091281D"/>
    <w:rsid w:val="00913CA3"/>
    <w:rsid w:val="0091703C"/>
    <w:rsid w:val="00920F97"/>
    <w:rsid w:val="0092474A"/>
    <w:rsid w:val="00927517"/>
    <w:rsid w:val="00931F65"/>
    <w:rsid w:val="009347B1"/>
    <w:rsid w:val="0093698C"/>
    <w:rsid w:val="009373B2"/>
    <w:rsid w:val="009425C7"/>
    <w:rsid w:val="009447B9"/>
    <w:rsid w:val="0094482E"/>
    <w:rsid w:val="00947210"/>
    <w:rsid w:val="00947D4B"/>
    <w:rsid w:val="00964618"/>
    <w:rsid w:val="009768E4"/>
    <w:rsid w:val="00983CE6"/>
    <w:rsid w:val="00987CE3"/>
    <w:rsid w:val="00992450"/>
    <w:rsid w:val="0099475C"/>
    <w:rsid w:val="009955B3"/>
    <w:rsid w:val="009A3AC9"/>
    <w:rsid w:val="009B5A5A"/>
    <w:rsid w:val="009B6F55"/>
    <w:rsid w:val="009C65F4"/>
    <w:rsid w:val="009D0AEA"/>
    <w:rsid w:val="009D266B"/>
    <w:rsid w:val="009D6757"/>
    <w:rsid w:val="009D6BB5"/>
    <w:rsid w:val="009E2C52"/>
    <w:rsid w:val="009E3714"/>
    <w:rsid w:val="009E3FA7"/>
    <w:rsid w:val="009E5220"/>
    <w:rsid w:val="009F1511"/>
    <w:rsid w:val="009F7C00"/>
    <w:rsid w:val="00A01224"/>
    <w:rsid w:val="00A13EB3"/>
    <w:rsid w:val="00A14A51"/>
    <w:rsid w:val="00A15AB6"/>
    <w:rsid w:val="00A202AD"/>
    <w:rsid w:val="00A20AFF"/>
    <w:rsid w:val="00A3080B"/>
    <w:rsid w:val="00A31B99"/>
    <w:rsid w:val="00A41279"/>
    <w:rsid w:val="00A416AD"/>
    <w:rsid w:val="00A42548"/>
    <w:rsid w:val="00A43C1E"/>
    <w:rsid w:val="00A451A4"/>
    <w:rsid w:val="00A549EB"/>
    <w:rsid w:val="00A60930"/>
    <w:rsid w:val="00A632A4"/>
    <w:rsid w:val="00A63674"/>
    <w:rsid w:val="00A664E2"/>
    <w:rsid w:val="00A70B2F"/>
    <w:rsid w:val="00A70EDD"/>
    <w:rsid w:val="00A74DFF"/>
    <w:rsid w:val="00A752CA"/>
    <w:rsid w:val="00A76131"/>
    <w:rsid w:val="00A76A02"/>
    <w:rsid w:val="00A80769"/>
    <w:rsid w:val="00A81F37"/>
    <w:rsid w:val="00A9155E"/>
    <w:rsid w:val="00A946FF"/>
    <w:rsid w:val="00A951D0"/>
    <w:rsid w:val="00A9686B"/>
    <w:rsid w:val="00AA32A4"/>
    <w:rsid w:val="00AB0E88"/>
    <w:rsid w:val="00AB739D"/>
    <w:rsid w:val="00AC3376"/>
    <w:rsid w:val="00AC4D47"/>
    <w:rsid w:val="00AD4D1D"/>
    <w:rsid w:val="00AD6A8C"/>
    <w:rsid w:val="00AD7494"/>
    <w:rsid w:val="00AD7B30"/>
    <w:rsid w:val="00AE55C4"/>
    <w:rsid w:val="00AF3EE4"/>
    <w:rsid w:val="00AF47C8"/>
    <w:rsid w:val="00AF736A"/>
    <w:rsid w:val="00B00981"/>
    <w:rsid w:val="00B0490D"/>
    <w:rsid w:val="00B06089"/>
    <w:rsid w:val="00B112E0"/>
    <w:rsid w:val="00B12E60"/>
    <w:rsid w:val="00B164BA"/>
    <w:rsid w:val="00B2048F"/>
    <w:rsid w:val="00B22730"/>
    <w:rsid w:val="00B27EBA"/>
    <w:rsid w:val="00B30B15"/>
    <w:rsid w:val="00B3135A"/>
    <w:rsid w:val="00B314B4"/>
    <w:rsid w:val="00B32ABD"/>
    <w:rsid w:val="00B32D92"/>
    <w:rsid w:val="00B36DE8"/>
    <w:rsid w:val="00B41BDB"/>
    <w:rsid w:val="00B4284B"/>
    <w:rsid w:val="00B51546"/>
    <w:rsid w:val="00B623DF"/>
    <w:rsid w:val="00B627F5"/>
    <w:rsid w:val="00B70828"/>
    <w:rsid w:val="00B72192"/>
    <w:rsid w:val="00B72D64"/>
    <w:rsid w:val="00B853A5"/>
    <w:rsid w:val="00B91147"/>
    <w:rsid w:val="00B95C21"/>
    <w:rsid w:val="00B969FF"/>
    <w:rsid w:val="00B97800"/>
    <w:rsid w:val="00BA5AF8"/>
    <w:rsid w:val="00BB4141"/>
    <w:rsid w:val="00BB57E0"/>
    <w:rsid w:val="00BC52EB"/>
    <w:rsid w:val="00BD24C6"/>
    <w:rsid w:val="00BD3F8A"/>
    <w:rsid w:val="00BD7441"/>
    <w:rsid w:val="00BE4658"/>
    <w:rsid w:val="00BF4F7A"/>
    <w:rsid w:val="00C13609"/>
    <w:rsid w:val="00C244D8"/>
    <w:rsid w:val="00C24B32"/>
    <w:rsid w:val="00C3380F"/>
    <w:rsid w:val="00C344CD"/>
    <w:rsid w:val="00C41B4A"/>
    <w:rsid w:val="00C42499"/>
    <w:rsid w:val="00C43A66"/>
    <w:rsid w:val="00C51D86"/>
    <w:rsid w:val="00C53921"/>
    <w:rsid w:val="00C543F7"/>
    <w:rsid w:val="00C5612F"/>
    <w:rsid w:val="00C61A4B"/>
    <w:rsid w:val="00C62181"/>
    <w:rsid w:val="00C63800"/>
    <w:rsid w:val="00C64730"/>
    <w:rsid w:val="00C64C95"/>
    <w:rsid w:val="00C65843"/>
    <w:rsid w:val="00C7053E"/>
    <w:rsid w:val="00C73FB3"/>
    <w:rsid w:val="00C8021D"/>
    <w:rsid w:val="00C833D0"/>
    <w:rsid w:val="00C92EDD"/>
    <w:rsid w:val="00C94783"/>
    <w:rsid w:val="00C95A87"/>
    <w:rsid w:val="00CA0084"/>
    <w:rsid w:val="00CA0C21"/>
    <w:rsid w:val="00CA5EB5"/>
    <w:rsid w:val="00CA7A66"/>
    <w:rsid w:val="00CB05AD"/>
    <w:rsid w:val="00CB538D"/>
    <w:rsid w:val="00CC218C"/>
    <w:rsid w:val="00CC60F3"/>
    <w:rsid w:val="00CD5DC5"/>
    <w:rsid w:val="00CE7D63"/>
    <w:rsid w:val="00CF0022"/>
    <w:rsid w:val="00CF1215"/>
    <w:rsid w:val="00CF3ED4"/>
    <w:rsid w:val="00CF424B"/>
    <w:rsid w:val="00CF595D"/>
    <w:rsid w:val="00CF6645"/>
    <w:rsid w:val="00D11379"/>
    <w:rsid w:val="00D2638F"/>
    <w:rsid w:val="00D30936"/>
    <w:rsid w:val="00D3239E"/>
    <w:rsid w:val="00D32B2E"/>
    <w:rsid w:val="00D32E33"/>
    <w:rsid w:val="00D368D9"/>
    <w:rsid w:val="00D408BA"/>
    <w:rsid w:val="00D40AC6"/>
    <w:rsid w:val="00D413FA"/>
    <w:rsid w:val="00D50B18"/>
    <w:rsid w:val="00D5457A"/>
    <w:rsid w:val="00D55EE0"/>
    <w:rsid w:val="00D56DA1"/>
    <w:rsid w:val="00D62BE2"/>
    <w:rsid w:val="00D62E22"/>
    <w:rsid w:val="00D659A4"/>
    <w:rsid w:val="00D66A53"/>
    <w:rsid w:val="00D66FDF"/>
    <w:rsid w:val="00D67381"/>
    <w:rsid w:val="00D70A6E"/>
    <w:rsid w:val="00D70AB5"/>
    <w:rsid w:val="00D713A2"/>
    <w:rsid w:val="00D739A0"/>
    <w:rsid w:val="00D73ABC"/>
    <w:rsid w:val="00D75FBA"/>
    <w:rsid w:val="00D84D2B"/>
    <w:rsid w:val="00D92B05"/>
    <w:rsid w:val="00D931C5"/>
    <w:rsid w:val="00DA0DD9"/>
    <w:rsid w:val="00DA56BC"/>
    <w:rsid w:val="00DA725A"/>
    <w:rsid w:val="00DB3A9A"/>
    <w:rsid w:val="00DB56B6"/>
    <w:rsid w:val="00DB6D0F"/>
    <w:rsid w:val="00DC1A16"/>
    <w:rsid w:val="00DC5802"/>
    <w:rsid w:val="00DD2ACB"/>
    <w:rsid w:val="00DD3778"/>
    <w:rsid w:val="00DD4DEF"/>
    <w:rsid w:val="00DD70D5"/>
    <w:rsid w:val="00DE066D"/>
    <w:rsid w:val="00DE3208"/>
    <w:rsid w:val="00DE356E"/>
    <w:rsid w:val="00DE5ED4"/>
    <w:rsid w:val="00DE7B26"/>
    <w:rsid w:val="00DF4192"/>
    <w:rsid w:val="00DF4E5C"/>
    <w:rsid w:val="00DF5AA3"/>
    <w:rsid w:val="00DF6F5B"/>
    <w:rsid w:val="00E03BC0"/>
    <w:rsid w:val="00E043B3"/>
    <w:rsid w:val="00E04E3E"/>
    <w:rsid w:val="00E067FB"/>
    <w:rsid w:val="00E13588"/>
    <w:rsid w:val="00E162D6"/>
    <w:rsid w:val="00E21BA1"/>
    <w:rsid w:val="00E23176"/>
    <w:rsid w:val="00E24C50"/>
    <w:rsid w:val="00E25DAA"/>
    <w:rsid w:val="00E268CB"/>
    <w:rsid w:val="00E34030"/>
    <w:rsid w:val="00E34BAD"/>
    <w:rsid w:val="00E41FDB"/>
    <w:rsid w:val="00E42300"/>
    <w:rsid w:val="00E511F4"/>
    <w:rsid w:val="00E546EF"/>
    <w:rsid w:val="00E5675A"/>
    <w:rsid w:val="00E61227"/>
    <w:rsid w:val="00E612E3"/>
    <w:rsid w:val="00E643E9"/>
    <w:rsid w:val="00E65DEB"/>
    <w:rsid w:val="00E71685"/>
    <w:rsid w:val="00E734A8"/>
    <w:rsid w:val="00E8333B"/>
    <w:rsid w:val="00E909F1"/>
    <w:rsid w:val="00E91999"/>
    <w:rsid w:val="00E977EB"/>
    <w:rsid w:val="00EA1C34"/>
    <w:rsid w:val="00EA4B49"/>
    <w:rsid w:val="00EB5B1C"/>
    <w:rsid w:val="00EC194B"/>
    <w:rsid w:val="00EC2C16"/>
    <w:rsid w:val="00EC2F47"/>
    <w:rsid w:val="00EC76BC"/>
    <w:rsid w:val="00ED01BF"/>
    <w:rsid w:val="00ED32E1"/>
    <w:rsid w:val="00ED35C9"/>
    <w:rsid w:val="00ED6560"/>
    <w:rsid w:val="00ED70C5"/>
    <w:rsid w:val="00EE3BE0"/>
    <w:rsid w:val="00EF2827"/>
    <w:rsid w:val="00EF4131"/>
    <w:rsid w:val="00EF4CA3"/>
    <w:rsid w:val="00F0126D"/>
    <w:rsid w:val="00F07AF5"/>
    <w:rsid w:val="00F10974"/>
    <w:rsid w:val="00F11E75"/>
    <w:rsid w:val="00F15ABF"/>
    <w:rsid w:val="00F15EA4"/>
    <w:rsid w:val="00F201D6"/>
    <w:rsid w:val="00F251F7"/>
    <w:rsid w:val="00F30743"/>
    <w:rsid w:val="00F40483"/>
    <w:rsid w:val="00F4446C"/>
    <w:rsid w:val="00F518B4"/>
    <w:rsid w:val="00F61D88"/>
    <w:rsid w:val="00F6299F"/>
    <w:rsid w:val="00F63C09"/>
    <w:rsid w:val="00F655E2"/>
    <w:rsid w:val="00F67FDC"/>
    <w:rsid w:val="00F70F0C"/>
    <w:rsid w:val="00F75BA1"/>
    <w:rsid w:val="00F8056B"/>
    <w:rsid w:val="00F83850"/>
    <w:rsid w:val="00F91895"/>
    <w:rsid w:val="00F96883"/>
    <w:rsid w:val="00FA0FCD"/>
    <w:rsid w:val="00FA5F12"/>
    <w:rsid w:val="00FA79AE"/>
    <w:rsid w:val="00FC1A74"/>
    <w:rsid w:val="00FC30AE"/>
    <w:rsid w:val="00FD0DDE"/>
    <w:rsid w:val="00FD2A71"/>
    <w:rsid w:val="00FD74C7"/>
    <w:rsid w:val="00FE18C6"/>
    <w:rsid w:val="00FE721E"/>
    <w:rsid w:val="00FF140B"/>
    <w:rsid w:val="00FF2C74"/>
    <w:rsid w:val="00FF560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29A8B"/>
  <w15:chartTrackingRefBased/>
  <w15:docId w15:val="{1716DC9B-C786-48FC-BAB5-97A2D85D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19F"/>
    <w:rPr>
      <w:rFonts w:ascii="Times New Roman" w:hAnsi="Times New Roman" w:cs="Times New Roman"/>
      <w:sz w:val="24"/>
      <w:szCs w:val="24"/>
    </w:rPr>
  </w:style>
  <w:style w:type="paragraph" w:styleId="Heading1">
    <w:name w:val="heading 1"/>
    <w:basedOn w:val="Normal"/>
    <w:next w:val="Normal"/>
    <w:link w:val="Heading1Char"/>
    <w:uiPriority w:val="9"/>
    <w:qFormat/>
    <w:rsid w:val="0099475C"/>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9475C"/>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99475C"/>
    <w:pPr>
      <w:keepNext/>
      <w:keepLines/>
      <w:spacing w:before="40" w:after="0"/>
      <w:outlineLvl w:val="2"/>
    </w:pPr>
    <w:rPr>
      <w:rFonts w:eastAsiaTheme="majorEastAsia" w:cstheme="majorBidi"/>
      <w:b/>
      <w:i/>
      <w:color w:val="000000" w:themeColor="text1"/>
    </w:rPr>
  </w:style>
  <w:style w:type="paragraph" w:styleId="Heading4">
    <w:name w:val="heading 4"/>
    <w:basedOn w:val="Normal"/>
    <w:next w:val="Normal"/>
    <w:link w:val="Heading4Char"/>
    <w:uiPriority w:val="9"/>
    <w:unhideWhenUsed/>
    <w:qFormat/>
    <w:rsid w:val="0099475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6127"/>
    <w:pPr>
      <w:spacing w:before="100" w:beforeAutospacing="1" w:after="100" w:afterAutospacing="1" w:line="240" w:lineRule="auto"/>
    </w:pPr>
    <w:rPr>
      <w:rFonts w:eastAsia="Times New Roman"/>
      <w:lang w:bidi="ne-NP"/>
    </w:rPr>
  </w:style>
  <w:style w:type="paragraph" w:styleId="Caption">
    <w:name w:val="caption"/>
    <w:basedOn w:val="Normal"/>
    <w:next w:val="Normal"/>
    <w:uiPriority w:val="35"/>
    <w:unhideWhenUsed/>
    <w:qFormat/>
    <w:rsid w:val="00376127"/>
    <w:pPr>
      <w:spacing w:line="240" w:lineRule="auto"/>
    </w:pPr>
    <w:rPr>
      <w:i/>
      <w:iCs/>
      <w:color w:val="1F497D" w:themeColor="text2"/>
      <w:sz w:val="18"/>
      <w:szCs w:val="18"/>
    </w:rPr>
  </w:style>
  <w:style w:type="table" w:styleId="TableGrid">
    <w:name w:val="Table Grid"/>
    <w:basedOn w:val="TableNormal"/>
    <w:uiPriority w:val="59"/>
    <w:rsid w:val="0037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127"/>
  </w:style>
  <w:style w:type="paragraph" w:styleId="Footer">
    <w:name w:val="footer"/>
    <w:basedOn w:val="Normal"/>
    <w:link w:val="FooterChar"/>
    <w:uiPriority w:val="99"/>
    <w:unhideWhenUsed/>
    <w:rsid w:val="00376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127"/>
  </w:style>
  <w:style w:type="paragraph" w:styleId="ListParagraph">
    <w:name w:val="List Paragraph"/>
    <w:basedOn w:val="Normal"/>
    <w:uiPriority w:val="34"/>
    <w:qFormat/>
    <w:rsid w:val="00D408BA"/>
    <w:pPr>
      <w:ind w:left="720"/>
      <w:contextualSpacing/>
    </w:pPr>
  </w:style>
  <w:style w:type="character" w:customStyle="1" w:styleId="Heading1Char">
    <w:name w:val="Heading 1 Char"/>
    <w:basedOn w:val="DefaultParagraphFont"/>
    <w:link w:val="Heading1"/>
    <w:uiPriority w:val="9"/>
    <w:rsid w:val="0099475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9475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99475C"/>
    <w:rPr>
      <w:rFonts w:ascii="Times New Roman" w:eastAsiaTheme="majorEastAsia" w:hAnsi="Times New Roman" w:cstheme="majorBidi"/>
      <w:b/>
      <w:i/>
      <w:color w:val="000000" w:themeColor="text1"/>
      <w:sz w:val="24"/>
      <w:szCs w:val="24"/>
    </w:rPr>
  </w:style>
  <w:style w:type="character" w:customStyle="1" w:styleId="Heading4Char">
    <w:name w:val="Heading 4 Char"/>
    <w:basedOn w:val="DefaultParagraphFont"/>
    <w:link w:val="Heading4"/>
    <w:uiPriority w:val="9"/>
    <w:rsid w:val="0099475C"/>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99475C"/>
    <w:pPr>
      <w:spacing w:after="0" w:line="240" w:lineRule="auto"/>
    </w:pPr>
    <w:rPr>
      <w:rFonts w:eastAsiaTheme="minorEastAsia"/>
    </w:rPr>
  </w:style>
  <w:style w:type="character" w:customStyle="1" w:styleId="NoSpacingChar">
    <w:name w:val="No Spacing Char"/>
    <w:basedOn w:val="DefaultParagraphFont"/>
    <w:link w:val="NoSpacing"/>
    <w:uiPriority w:val="1"/>
    <w:rsid w:val="0099475C"/>
    <w:rPr>
      <w:rFonts w:eastAsiaTheme="minorEastAsia"/>
    </w:rPr>
  </w:style>
  <w:style w:type="character" w:styleId="Hyperlink">
    <w:name w:val="Hyperlink"/>
    <w:basedOn w:val="DefaultParagraphFont"/>
    <w:uiPriority w:val="99"/>
    <w:unhideWhenUsed/>
    <w:rsid w:val="0099475C"/>
    <w:rPr>
      <w:color w:val="0000FF"/>
      <w:u w:val="single"/>
    </w:rPr>
  </w:style>
  <w:style w:type="character" w:customStyle="1" w:styleId="reference-accessdate">
    <w:name w:val="reference-accessdate"/>
    <w:basedOn w:val="DefaultParagraphFont"/>
    <w:rsid w:val="0099475C"/>
  </w:style>
  <w:style w:type="character" w:customStyle="1" w:styleId="nowrap">
    <w:name w:val="nowrap"/>
    <w:basedOn w:val="DefaultParagraphFont"/>
    <w:rsid w:val="0099475C"/>
  </w:style>
  <w:style w:type="paragraph" w:styleId="Subtitle">
    <w:name w:val="Subtitle"/>
    <w:basedOn w:val="Normal"/>
    <w:next w:val="Normal"/>
    <w:link w:val="SubtitleChar"/>
    <w:uiPriority w:val="11"/>
    <w:qFormat/>
    <w:rsid w:val="0099475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475C"/>
    <w:rPr>
      <w:rFonts w:eastAsiaTheme="minorEastAsia"/>
      <w:color w:val="5A5A5A" w:themeColor="text1" w:themeTint="A5"/>
      <w:spacing w:val="15"/>
    </w:rPr>
  </w:style>
  <w:style w:type="character" w:styleId="PlaceholderText">
    <w:name w:val="Placeholder Text"/>
    <w:basedOn w:val="DefaultParagraphFont"/>
    <w:uiPriority w:val="99"/>
    <w:semiHidden/>
    <w:rsid w:val="0099475C"/>
    <w:rPr>
      <w:color w:val="808080"/>
    </w:rPr>
  </w:style>
  <w:style w:type="character" w:styleId="FollowedHyperlink">
    <w:name w:val="FollowedHyperlink"/>
    <w:basedOn w:val="DefaultParagraphFont"/>
    <w:uiPriority w:val="99"/>
    <w:semiHidden/>
    <w:unhideWhenUsed/>
    <w:rsid w:val="0099475C"/>
    <w:rPr>
      <w:color w:val="954F72"/>
      <w:u w:val="single"/>
    </w:rPr>
  </w:style>
  <w:style w:type="paragraph" w:customStyle="1" w:styleId="msonormal0">
    <w:name w:val="msonormal"/>
    <w:basedOn w:val="Normal"/>
    <w:rsid w:val="0099475C"/>
    <w:pPr>
      <w:spacing w:before="100" w:beforeAutospacing="1" w:after="100" w:afterAutospacing="1" w:line="240" w:lineRule="auto"/>
    </w:pPr>
    <w:rPr>
      <w:rFonts w:eastAsia="Times New Roman"/>
      <w:lang w:bidi="ne-NP"/>
    </w:rPr>
  </w:style>
  <w:style w:type="paragraph" w:customStyle="1" w:styleId="xl65">
    <w:name w:val="xl65"/>
    <w:basedOn w:val="Normal"/>
    <w:rsid w:val="0099475C"/>
    <w:pPr>
      <w:shd w:val="clear" w:color="000000" w:fill="FFC000"/>
      <w:spacing w:before="100" w:beforeAutospacing="1" w:after="100" w:afterAutospacing="1" w:line="240" w:lineRule="auto"/>
    </w:pPr>
    <w:rPr>
      <w:rFonts w:eastAsia="Times New Roman"/>
      <w:lang w:bidi="ne-NP"/>
    </w:rPr>
  </w:style>
  <w:style w:type="paragraph" w:customStyle="1" w:styleId="xl66">
    <w:name w:val="xl66"/>
    <w:basedOn w:val="Normal"/>
    <w:rsid w:val="0099475C"/>
    <w:pPr>
      <w:shd w:val="clear" w:color="000000" w:fill="C00000"/>
      <w:spacing w:before="100" w:beforeAutospacing="1" w:after="100" w:afterAutospacing="1" w:line="240" w:lineRule="auto"/>
    </w:pPr>
    <w:rPr>
      <w:rFonts w:eastAsia="Times New Roman"/>
      <w:lang w:bidi="ne-NP"/>
    </w:rPr>
  </w:style>
  <w:style w:type="paragraph" w:customStyle="1" w:styleId="xl68">
    <w:name w:val="xl68"/>
    <w:basedOn w:val="Normal"/>
    <w:uiPriority w:val="99"/>
    <w:rsid w:val="0099475C"/>
    <w:pPr>
      <w:shd w:val="clear" w:color="000000" w:fill="00B0F0"/>
      <w:spacing w:before="100" w:beforeAutospacing="1" w:after="100" w:afterAutospacing="1" w:line="240" w:lineRule="auto"/>
    </w:pPr>
    <w:rPr>
      <w:rFonts w:eastAsia="Times New Roman"/>
      <w:lang w:bidi="ne-NP"/>
    </w:rPr>
  </w:style>
  <w:style w:type="paragraph" w:customStyle="1" w:styleId="xl67">
    <w:name w:val="xl67"/>
    <w:basedOn w:val="Normal"/>
    <w:uiPriority w:val="99"/>
    <w:rsid w:val="0099475C"/>
    <w:pPr>
      <w:shd w:val="clear" w:color="000000" w:fill="00B0F0"/>
      <w:spacing w:before="100" w:beforeAutospacing="1" w:after="100" w:afterAutospacing="1" w:line="240" w:lineRule="auto"/>
    </w:pPr>
    <w:rPr>
      <w:rFonts w:eastAsia="Times New Roman"/>
      <w:lang w:bidi="ne-NP"/>
    </w:rPr>
  </w:style>
  <w:style w:type="character" w:customStyle="1" w:styleId="UnresolvedMention1">
    <w:name w:val="Unresolved Mention1"/>
    <w:basedOn w:val="DefaultParagraphFont"/>
    <w:uiPriority w:val="99"/>
    <w:semiHidden/>
    <w:unhideWhenUsed/>
    <w:rsid w:val="0099475C"/>
    <w:rPr>
      <w:color w:val="605E5C"/>
      <w:shd w:val="clear" w:color="auto" w:fill="E1DFDD"/>
    </w:rPr>
  </w:style>
  <w:style w:type="paragraph" w:styleId="TOCHeading">
    <w:name w:val="TOC Heading"/>
    <w:basedOn w:val="Heading1"/>
    <w:next w:val="Normal"/>
    <w:uiPriority w:val="39"/>
    <w:unhideWhenUsed/>
    <w:qFormat/>
    <w:rsid w:val="0099475C"/>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9475C"/>
    <w:pPr>
      <w:tabs>
        <w:tab w:val="right" w:leader="dot" w:pos="9106"/>
      </w:tabs>
      <w:spacing w:after="100" w:line="360" w:lineRule="auto"/>
    </w:pPr>
  </w:style>
  <w:style w:type="paragraph" w:styleId="TOC2">
    <w:name w:val="toc 2"/>
    <w:basedOn w:val="Normal"/>
    <w:next w:val="Normal"/>
    <w:autoRedefine/>
    <w:uiPriority w:val="39"/>
    <w:unhideWhenUsed/>
    <w:rsid w:val="0099475C"/>
    <w:pPr>
      <w:spacing w:after="100"/>
      <w:ind w:left="220"/>
    </w:pPr>
  </w:style>
  <w:style w:type="paragraph" w:styleId="TOC3">
    <w:name w:val="toc 3"/>
    <w:basedOn w:val="Normal"/>
    <w:next w:val="Normal"/>
    <w:autoRedefine/>
    <w:uiPriority w:val="39"/>
    <w:unhideWhenUsed/>
    <w:rsid w:val="0099475C"/>
    <w:pPr>
      <w:spacing w:after="100"/>
      <w:ind w:left="440"/>
    </w:pPr>
  </w:style>
  <w:style w:type="character" w:styleId="Strong">
    <w:name w:val="Strong"/>
    <w:basedOn w:val="DefaultParagraphFont"/>
    <w:uiPriority w:val="22"/>
    <w:qFormat/>
    <w:rsid w:val="0099475C"/>
    <w:rPr>
      <w:b/>
      <w:bCs/>
    </w:rPr>
  </w:style>
  <w:style w:type="character" w:styleId="Emphasis">
    <w:name w:val="Emphasis"/>
    <w:basedOn w:val="DefaultParagraphFont"/>
    <w:uiPriority w:val="20"/>
    <w:qFormat/>
    <w:rsid w:val="0099475C"/>
    <w:rPr>
      <w:i/>
      <w:iCs/>
    </w:rPr>
  </w:style>
  <w:style w:type="paragraph" w:styleId="TableofFigures">
    <w:name w:val="table of figures"/>
    <w:basedOn w:val="Normal"/>
    <w:next w:val="Normal"/>
    <w:uiPriority w:val="99"/>
    <w:unhideWhenUsed/>
    <w:rsid w:val="0099475C"/>
    <w:pPr>
      <w:spacing w:after="0"/>
    </w:pPr>
  </w:style>
  <w:style w:type="paragraph" w:styleId="BalloonText">
    <w:name w:val="Balloon Text"/>
    <w:basedOn w:val="Normal"/>
    <w:link w:val="BalloonTextChar"/>
    <w:uiPriority w:val="99"/>
    <w:semiHidden/>
    <w:unhideWhenUsed/>
    <w:rsid w:val="0099475C"/>
    <w:pPr>
      <w:spacing w:after="0" w:line="240" w:lineRule="auto"/>
    </w:pPr>
    <w:rPr>
      <w:rFonts w:ascii="Tahoma" w:eastAsia="Calibri" w:hAnsi="Tahoma" w:cs="Tahoma"/>
      <w:color w:val="000000"/>
      <w:sz w:val="16"/>
      <w:szCs w:val="14"/>
      <w:lang w:bidi="ne-NP"/>
    </w:rPr>
  </w:style>
  <w:style w:type="character" w:customStyle="1" w:styleId="BalloonTextChar">
    <w:name w:val="Balloon Text Char"/>
    <w:basedOn w:val="DefaultParagraphFont"/>
    <w:link w:val="BalloonText"/>
    <w:uiPriority w:val="99"/>
    <w:semiHidden/>
    <w:rsid w:val="0099475C"/>
    <w:rPr>
      <w:rFonts w:ascii="Tahoma" w:eastAsia="Calibri" w:hAnsi="Tahoma" w:cs="Tahoma"/>
      <w:color w:val="000000"/>
      <w:sz w:val="16"/>
      <w:szCs w:val="14"/>
      <w:lang w:bidi="ne-NP"/>
    </w:rPr>
  </w:style>
  <w:style w:type="character" w:styleId="CommentReference">
    <w:name w:val="annotation reference"/>
    <w:basedOn w:val="DefaultParagraphFont"/>
    <w:uiPriority w:val="99"/>
    <w:semiHidden/>
    <w:unhideWhenUsed/>
    <w:rsid w:val="00AF3EE4"/>
    <w:rPr>
      <w:sz w:val="16"/>
      <w:szCs w:val="16"/>
    </w:rPr>
  </w:style>
  <w:style w:type="paragraph" w:styleId="CommentText">
    <w:name w:val="annotation text"/>
    <w:basedOn w:val="Normal"/>
    <w:link w:val="CommentTextChar"/>
    <w:uiPriority w:val="99"/>
    <w:unhideWhenUsed/>
    <w:rsid w:val="00AF3EE4"/>
    <w:pPr>
      <w:spacing w:line="240" w:lineRule="auto"/>
    </w:pPr>
    <w:rPr>
      <w:sz w:val="20"/>
      <w:szCs w:val="20"/>
    </w:rPr>
  </w:style>
  <w:style w:type="character" w:customStyle="1" w:styleId="CommentTextChar">
    <w:name w:val="Comment Text Char"/>
    <w:basedOn w:val="DefaultParagraphFont"/>
    <w:link w:val="CommentText"/>
    <w:uiPriority w:val="99"/>
    <w:rsid w:val="00AF3E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EE4"/>
    <w:rPr>
      <w:b/>
      <w:bCs/>
    </w:rPr>
  </w:style>
  <w:style w:type="character" w:customStyle="1" w:styleId="CommentSubjectChar">
    <w:name w:val="Comment Subject Char"/>
    <w:basedOn w:val="CommentTextChar"/>
    <w:link w:val="CommentSubject"/>
    <w:uiPriority w:val="99"/>
    <w:semiHidden/>
    <w:rsid w:val="00AF3EE4"/>
    <w:rPr>
      <w:rFonts w:ascii="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5E65DD"/>
    <w:rPr>
      <w:color w:val="605E5C"/>
      <w:shd w:val="clear" w:color="auto" w:fill="E1DFDD"/>
    </w:rPr>
  </w:style>
  <w:style w:type="character" w:styleId="UnresolvedMention">
    <w:name w:val="Unresolved Mention"/>
    <w:basedOn w:val="DefaultParagraphFont"/>
    <w:uiPriority w:val="99"/>
    <w:semiHidden/>
    <w:unhideWhenUsed/>
    <w:rsid w:val="00B2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1475">
      <w:bodyDiv w:val="1"/>
      <w:marLeft w:val="0"/>
      <w:marRight w:val="0"/>
      <w:marTop w:val="0"/>
      <w:marBottom w:val="0"/>
      <w:divBdr>
        <w:top w:val="none" w:sz="0" w:space="0" w:color="auto"/>
        <w:left w:val="none" w:sz="0" w:space="0" w:color="auto"/>
        <w:bottom w:val="none" w:sz="0" w:space="0" w:color="auto"/>
        <w:right w:val="none" w:sz="0" w:space="0" w:color="auto"/>
      </w:divBdr>
    </w:div>
    <w:div w:id="59255774">
      <w:bodyDiv w:val="1"/>
      <w:marLeft w:val="0"/>
      <w:marRight w:val="0"/>
      <w:marTop w:val="0"/>
      <w:marBottom w:val="0"/>
      <w:divBdr>
        <w:top w:val="none" w:sz="0" w:space="0" w:color="auto"/>
        <w:left w:val="none" w:sz="0" w:space="0" w:color="auto"/>
        <w:bottom w:val="none" w:sz="0" w:space="0" w:color="auto"/>
        <w:right w:val="none" w:sz="0" w:space="0" w:color="auto"/>
      </w:divBdr>
    </w:div>
    <w:div w:id="75130397">
      <w:bodyDiv w:val="1"/>
      <w:marLeft w:val="0"/>
      <w:marRight w:val="0"/>
      <w:marTop w:val="0"/>
      <w:marBottom w:val="0"/>
      <w:divBdr>
        <w:top w:val="none" w:sz="0" w:space="0" w:color="auto"/>
        <w:left w:val="none" w:sz="0" w:space="0" w:color="auto"/>
        <w:bottom w:val="none" w:sz="0" w:space="0" w:color="auto"/>
        <w:right w:val="none" w:sz="0" w:space="0" w:color="auto"/>
      </w:divBdr>
    </w:div>
    <w:div w:id="445124691">
      <w:bodyDiv w:val="1"/>
      <w:marLeft w:val="0"/>
      <w:marRight w:val="0"/>
      <w:marTop w:val="0"/>
      <w:marBottom w:val="0"/>
      <w:divBdr>
        <w:top w:val="none" w:sz="0" w:space="0" w:color="auto"/>
        <w:left w:val="none" w:sz="0" w:space="0" w:color="auto"/>
        <w:bottom w:val="none" w:sz="0" w:space="0" w:color="auto"/>
        <w:right w:val="none" w:sz="0" w:space="0" w:color="auto"/>
      </w:divBdr>
      <w:divsChild>
        <w:div w:id="1203981725">
          <w:marLeft w:val="0"/>
          <w:marRight w:val="0"/>
          <w:marTop w:val="0"/>
          <w:marBottom w:val="0"/>
          <w:divBdr>
            <w:top w:val="none" w:sz="0" w:space="0" w:color="auto"/>
            <w:left w:val="none" w:sz="0" w:space="0" w:color="auto"/>
            <w:bottom w:val="none" w:sz="0" w:space="0" w:color="auto"/>
            <w:right w:val="none" w:sz="0" w:space="0" w:color="auto"/>
          </w:divBdr>
          <w:divsChild>
            <w:div w:id="13206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2553">
      <w:bodyDiv w:val="1"/>
      <w:marLeft w:val="0"/>
      <w:marRight w:val="0"/>
      <w:marTop w:val="0"/>
      <w:marBottom w:val="0"/>
      <w:divBdr>
        <w:top w:val="none" w:sz="0" w:space="0" w:color="auto"/>
        <w:left w:val="none" w:sz="0" w:space="0" w:color="auto"/>
        <w:bottom w:val="none" w:sz="0" w:space="0" w:color="auto"/>
        <w:right w:val="none" w:sz="0" w:space="0" w:color="auto"/>
      </w:divBdr>
    </w:div>
    <w:div w:id="952978421">
      <w:bodyDiv w:val="1"/>
      <w:marLeft w:val="0"/>
      <w:marRight w:val="0"/>
      <w:marTop w:val="0"/>
      <w:marBottom w:val="0"/>
      <w:divBdr>
        <w:top w:val="none" w:sz="0" w:space="0" w:color="auto"/>
        <w:left w:val="none" w:sz="0" w:space="0" w:color="auto"/>
        <w:bottom w:val="none" w:sz="0" w:space="0" w:color="auto"/>
        <w:right w:val="none" w:sz="0" w:space="0" w:color="auto"/>
      </w:divBdr>
    </w:div>
    <w:div w:id="1048577229">
      <w:bodyDiv w:val="1"/>
      <w:marLeft w:val="0"/>
      <w:marRight w:val="0"/>
      <w:marTop w:val="0"/>
      <w:marBottom w:val="0"/>
      <w:divBdr>
        <w:top w:val="none" w:sz="0" w:space="0" w:color="auto"/>
        <w:left w:val="none" w:sz="0" w:space="0" w:color="auto"/>
        <w:bottom w:val="none" w:sz="0" w:space="0" w:color="auto"/>
        <w:right w:val="none" w:sz="0" w:space="0" w:color="auto"/>
      </w:divBdr>
    </w:div>
    <w:div w:id="1144353698">
      <w:bodyDiv w:val="1"/>
      <w:marLeft w:val="0"/>
      <w:marRight w:val="0"/>
      <w:marTop w:val="0"/>
      <w:marBottom w:val="0"/>
      <w:divBdr>
        <w:top w:val="none" w:sz="0" w:space="0" w:color="auto"/>
        <w:left w:val="none" w:sz="0" w:space="0" w:color="auto"/>
        <w:bottom w:val="none" w:sz="0" w:space="0" w:color="auto"/>
        <w:right w:val="none" w:sz="0" w:space="0" w:color="auto"/>
      </w:divBdr>
    </w:div>
    <w:div w:id="1337416630">
      <w:bodyDiv w:val="1"/>
      <w:marLeft w:val="0"/>
      <w:marRight w:val="0"/>
      <w:marTop w:val="0"/>
      <w:marBottom w:val="0"/>
      <w:divBdr>
        <w:top w:val="none" w:sz="0" w:space="0" w:color="auto"/>
        <w:left w:val="none" w:sz="0" w:space="0" w:color="auto"/>
        <w:bottom w:val="none" w:sz="0" w:space="0" w:color="auto"/>
        <w:right w:val="none" w:sz="0" w:space="0" w:color="auto"/>
      </w:divBdr>
    </w:div>
    <w:div w:id="1398434723">
      <w:bodyDiv w:val="1"/>
      <w:marLeft w:val="0"/>
      <w:marRight w:val="0"/>
      <w:marTop w:val="0"/>
      <w:marBottom w:val="0"/>
      <w:divBdr>
        <w:top w:val="none" w:sz="0" w:space="0" w:color="auto"/>
        <w:left w:val="none" w:sz="0" w:space="0" w:color="auto"/>
        <w:bottom w:val="none" w:sz="0" w:space="0" w:color="auto"/>
        <w:right w:val="none" w:sz="0" w:space="0" w:color="auto"/>
      </w:divBdr>
    </w:div>
    <w:div w:id="1429082770">
      <w:bodyDiv w:val="1"/>
      <w:marLeft w:val="0"/>
      <w:marRight w:val="0"/>
      <w:marTop w:val="0"/>
      <w:marBottom w:val="0"/>
      <w:divBdr>
        <w:top w:val="none" w:sz="0" w:space="0" w:color="auto"/>
        <w:left w:val="none" w:sz="0" w:space="0" w:color="auto"/>
        <w:bottom w:val="none" w:sz="0" w:space="0" w:color="auto"/>
        <w:right w:val="none" w:sz="0" w:space="0" w:color="auto"/>
      </w:divBdr>
    </w:div>
    <w:div w:id="1487042330">
      <w:bodyDiv w:val="1"/>
      <w:marLeft w:val="0"/>
      <w:marRight w:val="0"/>
      <w:marTop w:val="0"/>
      <w:marBottom w:val="0"/>
      <w:divBdr>
        <w:top w:val="none" w:sz="0" w:space="0" w:color="auto"/>
        <w:left w:val="none" w:sz="0" w:space="0" w:color="auto"/>
        <w:bottom w:val="none" w:sz="0" w:space="0" w:color="auto"/>
        <w:right w:val="none" w:sz="0" w:space="0" w:color="auto"/>
      </w:divBdr>
    </w:div>
    <w:div w:id="1612778230">
      <w:bodyDiv w:val="1"/>
      <w:marLeft w:val="0"/>
      <w:marRight w:val="0"/>
      <w:marTop w:val="0"/>
      <w:marBottom w:val="0"/>
      <w:divBdr>
        <w:top w:val="none" w:sz="0" w:space="0" w:color="auto"/>
        <w:left w:val="none" w:sz="0" w:space="0" w:color="auto"/>
        <w:bottom w:val="none" w:sz="0" w:space="0" w:color="auto"/>
        <w:right w:val="none" w:sz="0" w:space="0" w:color="auto"/>
      </w:divBdr>
    </w:div>
    <w:div w:id="1691177519">
      <w:bodyDiv w:val="1"/>
      <w:marLeft w:val="0"/>
      <w:marRight w:val="0"/>
      <w:marTop w:val="0"/>
      <w:marBottom w:val="0"/>
      <w:divBdr>
        <w:top w:val="none" w:sz="0" w:space="0" w:color="auto"/>
        <w:left w:val="none" w:sz="0" w:space="0" w:color="auto"/>
        <w:bottom w:val="none" w:sz="0" w:space="0" w:color="auto"/>
        <w:right w:val="none" w:sz="0" w:space="0" w:color="auto"/>
      </w:divBdr>
    </w:div>
    <w:div w:id="1825702853">
      <w:bodyDiv w:val="1"/>
      <w:marLeft w:val="0"/>
      <w:marRight w:val="0"/>
      <w:marTop w:val="0"/>
      <w:marBottom w:val="0"/>
      <w:divBdr>
        <w:top w:val="none" w:sz="0" w:space="0" w:color="auto"/>
        <w:left w:val="none" w:sz="0" w:space="0" w:color="auto"/>
        <w:bottom w:val="none" w:sz="0" w:space="0" w:color="auto"/>
        <w:right w:val="none" w:sz="0" w:space="0" w:color="auto"/>
      </w:divBdr>
    </w:div>
    <w:div w:id="2014525180">
      <w:bodyDiv w:val="1"/>
      <w:marLeft w:val="0"/>
      <w:marRight w:val="0"/>
      <w:marTop w:val="0"/>
      <w:marBottom w:val="0"/>
      <w:divBdr>
        <w:top w:val="none" w:sz="0" w:space="0" w:color="auto"/>
        <w:left w:val="none" w:sz="0" w:space="0" w:color="auto"/>
        <w:bottom w:val="none" w:sz="0" w:space="0" w:color="auto"/>
        <w:right w:val="none" w:sz="0" w:space="0" w:color="auto"/>
      </w:divBdr>
    </w:div>
    <w:div w:id="207318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126/irjmmc.v6i2.80721"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D30E-CF2C-49E2-A064-9EFEF8D4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15</Pages>
  <Words>27506</Words>
  <Characters>156789</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 Bandhu Poudel</dc:creator>
  <cp:keywords/>
  <dc:description/>
  <cp:lastModifiedBy>MMC Hetauda</cp:lastModifiedBy>
  <cp:revision>18</cp:revision>
  <cp:lastPrinted>2025-06-27T04:01:00Z</cp:lastPrinted>
  <dcterms:created xsi:type="dcterms:W3CDTF">2023-07-26T08:46:00Z</dcterms:created>
  <dcterms:modified xsi:type="dcterms:W3CDTF">2025-06-27T04:02:00Z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a2884427a6470e6fa5ae401ac477ed0cf69e7092544440fbb6b7a98a9f23ae59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http://www.zotero.org/styles/sage-vancouver</vt:lpwstr>
  </property>
  <property fmtid="{D5CDD505-2E9C-101B-9397-08002B2CF9AE}" pid="20" name="Mendeley Recent Style Name 8_1">
    <vt:lpwstr>SAGE - Vancouver</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a805c63f-a4c1-366d-9b9d-e0d22bc8d69f</vt:lpwstr>
  </property>
  <property fmtid="{D5CDD505-2E9C-101B-9397-08002B2CF9AE}" pid="25" name="Mendeley Citation Style_1">
    <vt:lpwstr>http://www.zotero.org/styles/apa</vt:lpwstr>
  </property>
</Properties>
</file>